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A0D7E" w14:textId="160ED3F2" w:rsidR="00E36EC1" w:rsidRDefault="00E36EC1" w:rsidP="00E36EC1">
      <w:pPr>
        <w:rPr>
          <w:rFonts w:ascii="Neue Machina Ultrabold" w:hAnsi="Neue Machina Ultrabold"/>
          <w:sz w:val="36"/>
          <w:szCs w:val="36"/>
        </w:rPr>
      </w:pPr>
      <w:r w:rsidRPr="00E36EC1">
        <w:rPr>
          <w:rFonts w:ascii="Neue Machina Ultrabold" w:hAnsi="Neue Machina Ultrabold"/>
          <w:sz w:val="36"/>
          <w:szCs w:val="36"/>
        </w:rPr>
        <w:t xml:space="preserve">Pregled </w:t>
      </w:r>
      <w:r>
        <w:rPr>
          <w:rFonts w:ascii="Neue Machina Ultrabold" w:hAnsi="Neue Machina Ultrabold"/>
          <w:sz w:val="36"/>
          <w:szCs w:val="36"/>
        </w:rPr>
        <w:t>„</w:t>
      </w:r>
      <w:r w:rsidRPr="00E36EC1">
        <w:rPr>
          <w:rFonts w:ascii="Neue Machina Ultrabold" w:hAnsi="Neue Machina Ultrabold"/>
          <w:sz w:val="36"/>
          <w:szCs w:val="36"/>
        </w:rPr>
        <w:t>sektorskih propisa</w:t>
      </w:r>
      <w:r>
        <w:rPr>
          <w:rFonts w:ascii="Neue Machina Ultrabold" w:hAnsi="Neue Machina Ultrabold"/>
          <w:sz w:val="36"/>
          <w:szCs w:val="36"/>
        </w:rPr>
        <w:t>“</w:t>
      </w:r>
      <w:r w:rsidRPr="00E36EC1">
        <w:rPr>
          <w:rFonts w:ascii="Neue Machina Ultrabold" w:hAnsi="Neue Machina Ultrabold"/>
          <w:sz w:val="36"/>
          <w:szCs w:val="36"/>
        </w:rPr>
        <w:t xml:space="preserve"> koji onemogućavaju ili otežavaju ostvarivanje ekonomskih i socijalnih prava najugroženijih građana i građanki u Republici Srbiji</w:t>
      </w:r>
    </w:p>
    <w:p w14:paraId="04659EB0" w14:textId="71842DCA" w:rsidR="00E36EC1" w:rsidRDefault="00E36EC1" w:rsidP="00E36EC1">
      <w:pPr>
        <w:rPr>
          <w:rFonts w:ascii="Neue Machina Ultrabold" w:hAnsi="Neue Machina Ultrabold"/>
          <w:sz w:val="36"/>
          <w:szCs w:val="36"/>
        </w:rPr>
      </w:pPr>
    </w:p>
    <w:p w14:paraId="106BF45D" w14:textId="77777777" w:rsidR="00E36EC1" w:rsidRDefault="00E36EC1" w:rsidP="00E36EC1">
      <w:pPr>
        <w:jc w:val="right"/>
        <w:rPr>
          <w:rFonts w:ascii="Acumin Pro" w:hAnsi="Acumin Pro"/>
          <w:sz w:val="24"/>
          <w:szCs w:val="24"/>
        </w:rPr>
      </w:pPr>
    </w:p>
    <w:p w14:paraId="1F8FD4B1" w14:textId="163E5727" w:rsidR="00E36EC1" w:rsidRPr="00E36EC1" w:rsidRDefault="00E36EC1" w:rsidP="00E36EC1">
      <w:pPr>
        <w:jc w:val="right"/>
        <w:rPr>
          <w:rFonts w:ascii="Acumin Pro" w:hAnsi="Acumin Pro"/>
          <w:sz w:val="24"/>
          <w:szCs w:val="24"/>
        </w:rPr>
      </w:pPr>
      <w:r>
        <w:rPr>
          <w:rFonts w:ascii="Acumin Pro" w:hAnsi="Acumin Pro"/>
          <w:sz w:val="24"/>
          <w:szCs w:val="24"/>
        </w:rPr>
        <w:t xml:space="preserve">U Beogradu, </w:t>
      </w:r>
      <w:r w:rsidR="00EC42D8">
        <w:rPr>
          <w:rFonts w:ascii="Acumin Pro" w:hAnsi="Acumin Pro"/>
          <w:sz w:val="24"/>
          <w:szCs w:val="24"/>
        </w:rPr>
        <w:t>25.</w:t>
      </w:r>
      <w:r>
        <w:rPr>
          <w:rFonts w:ascii="Acumin Pro" w:hAnsi="Acumin Pro"/>
          <w:sz w:val="24"/>
          <w:szCs w:val="24"/>
        </w:rPr>
        <w:t xml:space="preserve"> </w:t>
      </w:r>
      <w:r w:rsidR="00EC42D8">
        <w:rPr>
          <w:rFonts w:ascii="Acumin Pro" w:hAnsi="Acumin Pro"/>
          <w:sz w:val="24"/>
          <w:szCs w:val="24"/>
        </w:rPr>
        <w:t>februar</w:t>
      </w:r>
      <w:r>
        <w:rPr>
          <w:rFonts w:ascii="Acumin Pro" w:hAnsi="Acumin Pro"/>
          <w:sz w:val="24"/>
          <w:szCs w:val="24"/>
        </w:rPr>
        <w:t xml:space="preserve"> 2021. godine </w:t>
      </w:r>
    </w:p>
    <w:p w14:paraId="76FF88CC" w14:textId="188A59C5" w:rsidR="00E36EC1" w:rsidRDefault="00E36EC1" w:rsidP="00D01093">
      <w:pPr>
        <w:jc w:val="both"/>
        <w:rPr>
          <w:rFonts w:ascii="Neue Machina Ultrabold" w:hAnsi="Neue Machina Ultrabold"/>
          <w:sz w:val="24"/>
          <w:szCs w:val="24"/>
        </w:rPr>
      </w:pPr>
    </w:p>
    <w:p w14:paraId="0EA2A712" w14:textId="77777777" w:rsidR="00E36EC1" w:rsidRDefault="00E36EC1" w:rsidP="00D01093">
      <w:pPr>
        <w:jc w:val="both"/>
        <w:rPr>
          <w:rFonts w:ascii="Neue Machina Ultrabold" w:hAnsi="Neue Machina Ultrabold"/>
          <w:sz w:val="24"/>
          <w:szCs w:val="24"/>
        </w:rPr>
      </w:pPr>
    </w:p>
    <w:p w14:paraId="7AC6B34B" w14:textId="58DED0DD" w:rsidR="00D01093" w:rsidRPr="00763077" w:rsidRDefault="00D01093" w:rsidP="00D01093">
      <w:pPr>
        <w:jc w:val="both"/>
        <w:rPr>
          <w:rFonts w:ascii="Neue Machina Ultrabold" w:hAnsi="Neue Machina Ultrabold"/>
          <w:sz w:val="24"/>
          <w:szCs w:val="24"/>
        </w:rPr>
      </w:pPr>
      <w:r w:rsidRPr="00763077">
        <w:rPr>
          <w:rFonts w:ascii="Neue Machina Ultrabold" w:hAnsi="Neue Machina Ultrabold"/>
          <w:sz w:val="24"/>
          <w:szCs w:val="24"/>
        </w:rPr>
        <w:t>Ključni problemi u Z</w:t>
      </w:r>
      <w:r w:rsidR="00B11728" w:rsidRPr="00763077">
        <w:rPr>
          <w:rFonts w:ascii="Neue Machina Ultrabold" w:hAnsi="Neue Machina Ultrabold"/>
          <w:sz w:val="24"/>
          <w:szCs w:val="24"/>
        </w:rPr>
        <w:t xml:space="preserve">akonu o finansijskoj podršci porodici sa decom </w:t>
      </w:r>
    </w:p>
    <w:p w14:paraId="5C64BE46" w14:textId="4EA428F9" w:rsidR="00B11728" w:rsidRPr="00763077" w:rsidRDefault="003849AB" w:rsidP="00D01093">
      <w:pPr>
        <w:jc w:val="both"/>
        <w:rPr>
          <w:rFonts w:ascii="Acumin Pro" w:hAnsi="Acumin Pro"/>
          <w:sz w:val="24"/>
          <w:szCs w:val="24"/>
        </w:rPr>
      </w:pPr>
      <w:r>
        <w:rPr>
          <w:rFonts w:ascii="Acumin Pro" w:hAnsi="Acumin Pro"/>
          <w:sz w:val="24"/>
          <w:szCs w:val="24"/>
        </w:rPr>
        <w:t xml:space="preserve">  </w:t>
      </w:r>
    </w:p>
    <w:p w14:paraId="33D943DA" w14:textId="790CC5C6" w:rsidR="00D01093" w:rsidRPr="00763077" w:rsidRDefault="00763077" w:rsidP="00E36EC1">
      <w:pPr>
        <w:ind w:firstLine="708"/>
        <w:jc w:val="both"/>
        <w:rPr>
          <w:rFonts w:ascii="Acumin Pro" w:hAnsi="Acumin Pro"/>
          <w:sz w:val="24"/>
          <w:szCs w:val="24"/>
        </w:rPr>
      </w:pPr>
      <w:r w:rsidRPr="00763077">
        <w:rPr>
          <w:rFonts w:ascii="Acumin Pro" w:hAnsi="Acumin Pro"/>
          <w:sz w:val="24"/>
          <w:szCs w:val="24"/>
        </w:rPr>
        <w:t>Član 25 Zakona o finansijskoj podršci porodici sa decom (</w:t>
      </w:r>
      <w:r w:rsidR="00135D57">
        <w:rPr>
          <w:rFonts w:ascii="Acumin Pro" w:hAnsi="Acumin Pro"/>
          <w:sz w:val="24"/>
          <w:szCs w:val="24"/>
        </w:rPr>
        <w:t xml:space="preserve">dalje: </w:t>
      </w:r>
      <w:r w:rsidRPr="00763077">
        <w:rPr>
          <w:rFonts w:ascii="Acumin Pro" w:hAnsi="Acumin Pro"/>
          <w:sz w:val="24"/>
          <w:szCs w:val="24"/>
        </w:rPr>
        <w:t>ZFPPD)</w:t>
      </w:r>
      <w:r w:rsidRPr="00763077">
        <w:rPr>
          <w:rStyle w:val="FootnoteReference"/>
          <w:rFonts w:ascii="Acumin Pro" w:hAnsi="Acumin Pro"/>
          <w:sz w:val="24"/>
          <w:szCs w:val="24"/>
        </w:rPr>
        <w:footnoteReference w:id="1"/>
      </w:r>
      <w:r w:rsidRPr="00763077">
        <w:rPr>
          <w:rFonts w:ascii="Acumin Pro" w:hAnsi="Acumin Pro"/>
          <w:sz w:val="24"/>
          <w:szCs w:val="24"/>
        </w:rPr>
        <w:t xml:space="preserve"> </w:t>
      </w:r>
      <w:r w:rsidR="00D01093" w:rsidRPr="00763077">
        <w:rPr>
          <w:rFonts w:ascii="Acumin Pro" w:hAnsi="Acumin Pro"/>
          <w:sz w:val="24"/>
          <w:szCs w:val="24"/>
        </w:rPr>
        <w:t xml:space="preserve"> propisuje </w:t>
      </w:r>
      <w:r w:rsidRPr="00763077">
        <w:rPr>
          <w:rFonts w:ascii="Acumin Pro" w:hAnsi="Acumin Pro"/>
          <w:sz w:val="24"/>
          <w:szCs w:val="24"/>
        </w:rPr>
        <w:t xml:space="preserve">uslove za roditeljski dodatak koji do sada nisu bili predviđeni u našem pravnom sistemu. Naime, ovi uslovi predviđaju </w:t>
      </w:r>
      <w:r w:rsidR="00D01093" w:rsidRPr="00763077">
        <w:rPr>
          <w:rFonts w:ascii="Acumin Pro" w:hAnsi="Acumin Pro"/>
          <w:sz w:val="24"/>
          <w:szCs w:val="24"/>
        </w:rPr>
        <w:t>i to da deca moraju biti u potpunosti i blagovremeno vakcinisana i redovno pohađati osnovno i obavezno predškolsko obrazovanje. Iako su ti uslovi naizgled neutralni, njihovi efekti nesrazmerno utiču na ugroženu romsku decu. To se jasno vidi na osnovu podataka o pohađanju osnovne škole, odnosno predškolske ustanove, i o obuhvatu imunizacijom. Prema podacima Republičkog zavoda za statistiku i UNICEF-a za 2019. godinu, obuhvat romske dete obrazovanjem u ranom detinjstvu je svega 7%, a u opštoj populaciji 61</w:t>
      </w:r>
      <w:r w:rsidR="00804185" w:rsidRPr="00763077">
        <w:rPr>
          <w:rFonts w:ascii="Acumin Pro" w:hAnsi="Acumin Pro"/>
          <w:sz w:val="24"/>
          <w:szCs w:val="24"/>
        </w:rPr>
        <w:t>%</w:t>
      </w:r>
      <w:r w:rsidR="00D01093" w:rsidRPr="00763077">
        <w:rPr>
          <w:rFonts w:ascii="Acumin Pro" w:hAnsi="Acumin Pro"/>
          <w:sz w:val="24"/>
          <w:szCs w:val="24"/>
        </w:rPr>
        <w:t>.</w:t>
      </w:r>
      <w:r w:rsidR="005100F0">
        <w:rPr>
          <w:rStyle w:val="FootnoteReference"/>
          <w:rFonts w:ascii="Acumin Pro" w:hAnsi="Acumin Pro"/>
          <w:sz w:val="24"/>
          <w:szCs w:val="24"/>
        </w:rPr>
        <w:footnoteReference w:id="2"/>
      </w:r>
      <w:r w:rsidR="00D01093" w:rsidRPr="00763077">
        <w:rPr>
          <w:rFonts w:ascii="Acumin Pro" w:hAnsi="Acumin Pro"/>
          <w:sz w:val="24"/>
          <w:szCs w:val="24"/>
        </w:rPr>
        <w:t xml:space="preserve"> Dok u opštoj populaciji 3% dece predškolskog uzrasta ne pohađa blagovremeno predškolski pripremni program, u romskoj populaciji 24% dece ne pohađa predškolski pripremni program.</w:t>
      </w:r>
      <w:r w:rsidR="00E516D7">
        <w:rPr>
          <w:rStyle w:val="FootnoteReference"/>
          <w:rFonts w:ascii="Acumin Pro" w:hAnsi="Acumin Pro"/>
          <w:sz w:val="24"/>
          <w:szCs w:val="24"/>
        </w:rPr>
        <w:footnoteReference w:id="3"/>
      </w:r>
      <w:r w:rsidR="00D01093" w:rsidRPr="00763077">
        <w:rPr>
          <w:rFonts w:ascii="Acumin Pro" w:hAnsi="Acumin Pro"/>
          <w:sz w:val="24"/>
          <w:szCs w:val="24"/>
        </w:rPr>
        <w:t xml:space="preserve"> Istraživanje UNDP iz 2018. pokazuje da</w:t>
      </w:r>
      <w:r w:rsidR="00E71A2B">
        <w:rPr>
          <w:rFonts w:ascii="Acumin Pro" w:hAnsi="Acumin Pro"/>
          <w:sz w:val="24"/>
          <w:szCs w:val="24"/>
        </w:rPr>
        <w:t>, u</w:t>
      </w:r>
      <w:r w:rsidR="001A3A70">
        <w:rPr>
          <w:rFonts w:ascii="Acumin Pro" w:hAnsi="Acumin Pro"/>
          <w:sz w:val="24"/>
          <w:szCs w:val="24"/>
        </w:rPr>
        <w:t xml:space="preserve"> proseku</w:t>
      </w:r>
      <w:r w:rsidR="009C099E">
        <w:rPr>
          <w:rFonts w:ascii="Acumin Pro" w:hAnsi="Acumin Pro"/>
          <w:sz w:val="24"/>
          <w:szCs w:val="24"/>
        </w:rPr>
        <w:t>,</w:t>
      </w:r>
      <w:r w:rsidR="00D01093" w:rsidRPr="00763077">
        <w:rPr>
          <w:rFonts w:ascii="Acumin Pro" w:hAnsi="Acumin Pro"/>
          <w:sz w:val="24"/>
          <w:szCs w:val="24"/>
        </w:rPr>
        <w:t xml:space="preserve"> </w:t>
      </w:r>
      <w:r w:rsidR="001A3A70">
        <w:rPr>
          <w:rFonts w:ascii="Acumin Pro" w:hAnsi="Acumin Pro"/>
          <w:sz w:val="24"/>
          <w:szCs w:val="24"/>
        </w:rPr>
        <w:t>jedno od šestoro romske dece osnovnoškolskog uzrasta</w:t>
      </w:r>
      <w:r w:rsidR="009C099E">
        <w:rPr>
          <w:rFonts w:ascii="Acumin Pro" w:hAnsi="Acumin Pro"/>
          <w:sz w:val="24"/>
          <w:szCs w:val="24"/>
        </w:rPr>
        <w:t xml:space="preserve"> i dalje ostaje izvan obrazovnog sistema</w:t>
      </w:r>
      <w:r w:rsidR="00D01093" w:rsidRPr="00763077">
        <w:rPr>
          <w:rFonts w:ascii="Acumin Pro" w:hAnsi="Acumin Pro"/>
          <w:sz w:val="24"/>
          <w:szCs w:val="24"/>
        </w:rPr>
        <w:t>.</w:t>
      </w:r>
      <w:r w:rsidR="009C099E">
        <w:rPr>
          <w:rStyle w:val="FootnoteReference"/>
          <w:rFonts w:ascii="Acumin Pro" w:hAnsi="Acumin Pro"/>
          <w:sz w:val="24"/>
          <w:szCs w:val="24"/>
        </w:rPr>
        <w:footnoteReference w:id="4"/>
      </w:r>
      <w:r w:rsidR="00D01093" w:rsidRPr="00763077">
        <w:rPr>
          <w:rFonts w:ascii="Acumin Pro" w:hAnsi="Acumin Pro"/>
          <w:sz w:val="24"/>
          <w:szCs w:val="24"/>
        </w:rPr>
        <w:t xml:space="preserve"> I kod vakcijacije, obuhvat romske dece je niži. Tako, prema podacima UNICEF-a i </w:t>
      </w:r>
      <w:r w:rsidR="00D01093" w:rsidRPr="00763077">
        <w:rPr>
          <w:rFonts w:ascii="Acumin Pro" w:hAnsi="Acumin Pro"/>
          <w:sz w:val="24"/>
          <w:szCs w:val="24"/>
        </w:rPr>
        <w:lastRenderedPageBreak/>
        <w:t>R</w:t>
      </w:r>
      <w:r w:rsidR="00B11728" w:rsidRPr="00763077">
        <w:rPr>
          <w:rFonts w:ascii="Acumin Pro" w:hAnsi="Acumin Pro"/>
          <w:sz w:val="24"/>
          <w:szCs w:val="24"/>
        </w:rPr>
        <w:t>epubličkog zavoda za statistiku</w:t>
      </w:r>
      <w:r w:rsidR="00D01093" w:rsidRPr="00763077">
        <w:rPr>
          <w:rFonts w:ascii="Acumin Pro" w:hAnsi="Acumin Pro"/>
          <w:sz w:val="24"/>
          <w:szCs w:val="24"/>
        </w:rPr>
        <w:t xml:space="preserve"> za 2019. samo oko jed</w:t>
      </w:r>
      <w:r w:rsidR="00B11728" w:rsidRPr="00763077">
        <w:rPr>
          <w:rFonts w:ascii="Acumin Pro" w:hAnsi="Acumin Pro"/>
          <w:sz w:val="24"/>
          <w:szCs w:val="24"/>
        </w:rPr>
        <w:t>ne</w:t>
      </w:r>
      <w:r w:rsidR="00D01093" w:rsidRPr="00763077">
        <w:rPr>
          <w:rFonts w:ascii="Acumin Pro" w:hAnsi="Acumin Pro"/>
          <w:sz w:val="24"/>
          <w:szCs w:val="24"/>
        </w:rPr>
        <w:t xml:space="preserve"> trećin</w:t>
      </w:r>
      <w:r w:rsidR="00B11728" w:rsidRPr="00763077">
        <w:rPr>
          <w:rFonts w:ascii="Acumin Pro" w:hAnsi="Acumin Pro"/>
          <w:sz w:val="24"/>
          <w:szCs w:val="24"/>
        </w:rPr>
        <w:t>e</w:t>
      </w:r>
      <w:r w:rsidR="00D01093" w:rsidRPr="00763077">
        <w:rPr>
          <w:rFonts w:ascii="Acumin Pro" w:hAnsi="Acumin Pro"/>
          <w:sz w:val="24"/>
          <w:szCs w:val="24"/>
        </w:rPr>
        <w:t xml:space="preserve"> romske dece (</w:t>
      </w:r>
      <w:r w:rsidR="00804185" w:rsidRPr="00763077">
        <w:rPr>
          <w:rFonts w:ascii="Acumin Pro" w:hAnsi="Acumin Pro"/>
          <w:sz w:val="24"/>
          <w:szCs w:val="24"/>
        </w:rPr>
        <w:t xml:space="preserve">oko </w:t>
      </w:r>
      <w:r w:rsidR="00D01093" w:rsidRPr="00763077">
        <w:rPr>
          <w:rFonts w:ascii="Acumin Pro" w:hAnsi="Acumin Pro"/>
          <w:sz w:val="24"/>
          <w:szCs w:val="24"/>
        </w:rPr>
        <w:t>35</w:t>
      </w:r>
      <w:r w:rsidR="00804185" w:rsidRPr="00763077">
        <w:rPr>
          <w:rFonts w:ascii="Acumin Pro" w:hAnsi="Acumin Pro"/>
          <w:sz w:val="24"/>
          <w:szCs w:val="24"/>
        </w:rPr>
        <w:t>%)</w:t>
      </w:r>
      <w:r w:rsidR="00D01093" w:rsidRPr="00763077">
        <w:rPr>
          <w:rFonts w:ascii="Acumin Pro" w:hAnsi="Acumin Pro"/>
          <w:sz w:val="24"/>
          <w:szCs w:val="24"/>
        </w:rPr>
        <w:t xml:space="preserve"> je primilo sve v</w:t>
      </w:r>
      <w:r w:rsidR="00804185" w:rsidRPr="00763077">
        <w:rPr>
          <w:rFonts w:ascii="Acumin Pro" w:hAnsi="Acumin Pro"/>
          <w:sz w:val="24"/>
          <w:szCs w:val="24"/>
        </w:rPr>
        <w:t xml:space="preserve">akcine na vreme, u odnosu na 69% </w:t>
      </w:r>
      <w:r w:rsidR="00D01093" w:rsidRPr="00763077">
        <w:rPr>
          <w:rFonts w:ascii="Acumin Pro" w:hAnsi="Acumin Pro"/>
          <w:sz w:val="24"/>
          <w:szCs w:val="24"/>
        </w:rPr>
        <w:t>dece u opštoj populaciji.</w:t>
      </w:r>
      <w:r w:rsidR="00D33FE6">
        <w:rPr>
          <w:rStyle w:val="FootnoteReference"/>
          <w:rFonts w:ascii="Acumin Pro" w:hAnsi="Acumin Pro"/>
          <w:sz w:val="24"/>
          <w:szCs w:val="24"/>
        </w:rPr>
        <w:footnoteReference w:id="5"/>
      </w:r>
      <w:r w:rsidR="00D01093" w:rsidRPr="00763077">
        <w:rPr>
          <w:rFonts w:ascii="Acumin Pro" w:hAnsi="Acumin Pro"/>
          <w:sz w:val="24"/>
          <w:szCs w:val="24"/>
        </w:rPr>
        <w:t xml:space="preserve"> </w:t>
      </w:r>
    </w:p>
    <w:p w14:paraId="310CC28F" w14:textId="34390C35" w:rsidR="00D01093" w:rsidRPr="00763077" w:rsidRDefault="00D01093" w:rsidP="00D01093">
      <w:pPr>
        <w:jc w:val="both"/>
        <w:rPr>
          <w:rFonts w:ascii="Acumin Pro" w:hAnsi="Acumin Pro"/>
          <w:sz w:val="24"/>
          <w:szCs w:val="24"/>
        </w:rPr>
      </w:pPr>
      <w:r w:rsidRPr="00763077">
        <w:rPr>
          <w:rFonts w:ascii="Acumin Pro" w:hAnsi="Acumin Pro"/>
          <w:sz w:val="24"/>
          <w:szCs w:val="24"/>
        </w:rPr>
        <w:t>Ukratko, čl</w:t>
      </w:r>
      <w:r w:rsidR="00E36EC1">
        <w:rPr>
          <w:rFonts w:ascii="Acumin Pro" w:hAnsi="Acumin Pro"/>
          <w:sz w:val="24"/>
          <w:szCs w:val="24"/>
        </w:rPr>
        <w:t>.</w:t>
      </w:r>
      <w:r w:rsidRPr="00763077">
        <w:rPr>
          <w:rFonts w:ascii="Acumin Pro" w:hAnsi="Acumin Pro"/>
          <w:sz w:val="24"/>
          <w:szCs w:val="24"/>
        </w:rPr>
        <w:t xml:space="preserve"> 25 ZFPPD je u suprotnosti sa: </w:t>
      </w:r>
    </w:p>
    <w:p w14:paraId="5190C2E9" w14:textId="653800EE" w:rsidR="00D01093" w:rsidRPr="00763077" w:rsidRDefault="00D01093" w:rsidP="00763077">
      <w:pPr>
        <w:pStyle w:val="ListParagraph"/>
        <w:numPr>
          <w:ilvl w:val="0"/>
          <w:numId w:val="2"/>
        </w:numPr>
        <w:ind w:left="714" w:hanging="357"/>
        <w:jc w:val="both"/>
        <w:rPr>
          <w:rFonts w:ascii="Acumin Pro" w:hAnsi="Acumin Pro"/>
          <w:sz w:val="24"/>
          <w:szCs w:val="24"/>
        </w:rPr>
      </w:pPr>
      <w:r w:rsidRPr="00763077">
        <w:rPr>
          <w:rFonts w:ascii="Acumin Pro" w:hAnsi="Acumin Pro"/>
          <w:sz w:val="24"/>
          <w:szCs w:val="24"/>
        </w:rPr>
        <w:t xml:space="preserve">zabranom diskriminacije (jer nesrazmerno pogađa romsku decu); </w:t>
      </w:r>
    </w:p>
    <w:p w14:paraId="3992521E" w14:textId="70E87FB0" w:rsidR="00D01093" w:rsidRPr="00763077" w:rsidRDefault="00D01093" w:rsidP="00763077">
      <w:pPr>
        <w:pStyle w:val="ListParagraph"/>
        <w:numPr>
          <w:ilvl w:val="0"/>
          <w:numId w:val="2"/>
        </w:numPr>
        <w:ind w:left="714" w:hanging="357"/>
        <w:jc w:val="both"/>
        <w:rPr>
          <w:rFonts w:ascii="Acumin Pro" w:hAnsi="Acumin Pro"/>
          <w:sz w:val="24"/>
          <w:szCs w:val="24"/>
        </w:rPr>
      </w:pPr>
      <w:r w:rsidRPr="00763077">
        <w:rPr>
          <w:rFonts w:ascii="Acumin Pro" w:hAnsi="Acumin Pro"/>
          <w:sz w:val="24"/>
          <w:szCs w:val="24"/>
        </w:rPr>
        <w:t xml:space="preserve">principom socijalne pravde (jer uskraćuje roditeljski dodatak onima koji su već u najnepovoljnijem položaju); </w:t>
      </w:r>
    </w:p>
    <w:p w14:paraId="3D650AD6" w14:textId="342A75F7" w:rsidR="00D01093" w:rsidRPr="00763077" w:rsidRDefault="00D01093" w:rsidP="00763077">
      <w:pPr>
        <w:pStyle w:val="ListParagraph"/>
        <w:numPr>
          <w:ilvl w:val="0"/>
          <w:numId w:val="2"/>
        </w:numPr>
        <w:ind w:left="714" w:hanging="357"/>
        <w:jc w:val="both"/>
        <w:rPr>
          <w:rFonts w:ascii="Acumin Pro" w:hAnsi="Acumin Pro"/>
          <w:sz w:val="24"/>
          <w:szCs w:val="24"/>
        </w:rPr>
      </w:pPr>
      <w:r w:rsidRPr="00763077">
        <w:rPr>
          <w:rFonts w:ascii="Acumin Pro" w:hAnsi="Acumin Pro"/>
          <w:sz w:val="24"/>
          <w:szCs w:val="24"/>
        </w:rPr>
        <w:t xml:space="preserve">jedinstvom pravnog poretka (jer Zakon uvodi nove sankcije za ponašanja koja su već sankcionisana relevantnim zakonima iz oblasti obrazovanja i zaštite stanovnika od zaraznih bolesti); </w:t>
      </w:r>
    </w:p>
    <w:p w14:paraId="685D8796" w14:textId="4D3CA47D" w:rsidR="00D01093" w:rsidRDefault="00D01093" w:rsidP="00763077">
      <w:pPr>
        <w:pStyle w:val="ListParagraph"/>
        <w:numPr>
          <w:ilvl w:val="0"/>
          <w:numId w:val="2"/>
        </w:numPr>
        <w:ind w:left="714" w:hanging="357"/>
        <w:jc w:val="both"/>
        <w:rPr>
          <w:rFonts w:ascii="Acumin Pro" w:hAnsi="Acumin Pro"/>
          <w:sz w:val="24"/>
          <w:szCs w:val="24"/>
        </w:rPr>
      </w:pPr>
      <w:r w:rsidRPr="00763077">
        <w:rPr>
          <w:rFonts w:ascii="Acumin Pro" w:hAnsi="Acumin Pro"/>
          <w:sz w:val="24"/>
          <w:szCs w:val="24"/>
        </w:rPr>
        <w:t>principom najboljeg interesa deteta (jer umesto podrške uvodi sankcije, i to ne samo za decu koja nisu vakcinisana ili su ostala izvan sistema obaveznog obrazovanja nego za svu decu iz iste porodice).</w:t>
      </w:r>
    </w:p>
    <w:p w14:paraId="2A7F371D" w14:textId="793B7537" w:rsidR="00F550D1" w:rsidRPr="00F813EA" w:rsidRDefault="00F813EA" w:rsidP="00F813EA">
      <w:pPr>
        <w:jc w:val="both"/>
        <w:rPr>
          <w:rFonts w:ascii="Acumin Pro" w:hAnsi="Acumin Pro"/>
          <w:sz w:val="24"/>
          <w:szCs w:val="24"/>
        </w:rPr>
      </w:pPr>
      <w:r w:rsidRPr="00F813EA">
        <w:rPr>
          <w:rFonts w:ascii="Acumin Pro" w:hAnsi="Acumin Pro"/>
          <w:sz w:val="24"/>
          <w:szCs w:val="24"/>
        </w:rPr>
        <w:t xml:space="preserve">Na neohodnost da se romskoj deci umesto dodatnog sankcionisanja pruži podrška u pristupu obrazovanju i zdravstvenoj zaštiti, govori </w:t>
      </w:r>
      <w:r w:rsidRPr="00F813EA">
        <w:rPr>
          <w:rFonts w:ascii="Acumin Pro" w:hAnsi="Acumin Pro"/>
          <w:sz w:val="24"/>
          <w:szCs w:val="24"/>
        </w:rPr>
        <w:t xml:space="preserve">i </w:t>
      </w:r>
      <w:r w:rsidR="00B56C9B" w:rsidRPr="00F813EA">
        <w:rPr>
          <w:rFonts w:ascii="Acumin Pro" w:hAnsi="Acumin Pro"/>
          <w:sz w:val="24"/>
          <w:szCs w:val="24"/>
        </w:rPr>
        <w:t>podatak da se tokom školovanja, svega 7% romske dece nikada nije susrelo sa disk</w:t>
      </w:r>
      <w:r w:rsidR="00C5545D" w:rsidRPr="00F813EA">
        <w:rPr>
          <w:rFonts w:ascii="Acumin Pro" w:hAnsi="Acumin Pro"/>
          <w:sz w:val="24"/>
          <w:szCs w:val="24"/>
        </w:rPr>
        <w:t>r</w:t>
      </w:r>
      <w:r w:rsidR="00B56C9B" w:rsidRPr="00F813EA">
        <w:rPr>
          <w:rFonts w:ascii="Acumin Pro" w:hAnsi="Acumin Pro"/>
          <w:sz w:val="24"/>
          <w:szCs w:val="24"/>
        </w:rPr>
        <w:t>iminacijom, dok čak 5</w:t>
      </w:r>
      <w:r w:rsidR="00312C7C" w:rsidRPr="00F813EA">
        <w:rPr>
          <w:rFonts w:ascii="Acumin Pro" w:hAnsi="Acumin Pro"/>
          <w:sz w:val="24"/>
          <w:szCs w:val="24"/>
        </w:rPr>
        <w:t>9</w:t>
      </w:r>
      <w:r w:rsidR="00B56C9B" w:rsidRPr="00F813EA">
        <w:rPr>
          <w:rFonts w:ascii="Acumin Pro" w:hAnsi="Acumin Pro"/>
          <w:sz w:val="24"/>
          <w:szCs w:val="24"/>
        </w:rPr>
        <w:t xml:space="preserve">,9% </w:t>
      </w:r>
      <w:r w:rsidR="00C5545D" w:rsidRPr="00F813EA">
        <w:rPr>
          <w:rFonts w:ascii="Acumin Pro" w:hAnsi="Acumin Pro"/>
          <w:sz w:val="24"/>
          <w:szCs w:val="24"/>
        </w:rPr>
        <w:t>romske dece navodi da se sa dis</w:t>
      </w:r>
      <w:r w:rsidR="00B56C9B" w:rsidRPr="00F813EA">
        <w:rPr>
          <w:rFonts w:ascii="Acumin Pro" w:hAnsi="Acumin Pro"/>
          <w:sz w:val="24"/>
          <w:szCs w:val="24"/>
        </w:rPr>
        <w:t>k</w:t>
      </w:r>
      <w:r w:rsidR="00C5545D" w:rsidRPr="00F813EA">
        <w:rPr>
          <w:rFonts w:ascii="Acumin Pro" w:hAnsi="Acumin Pro"/>
          <w:sz w:val="24"/>
          <w:szCs w:val="24"/>
        </w:rPr>
        <w:t>r</w:t>
      </w:r>
      <w:r w:rsidR="00B56C9B" w:rsidRPr="00F813EA">
        <w:rPr>
          <w:rFonts w:ascii="Acumin Pro" w:hAnsi="Acumin Pro"/>
          <w:sz w:val="24"/>
          <w:szCs w:val="24"/>
        </w:rPr>
        <w:t>iminacijom u školi susrelo najmanje 10 puta.</w:t>
      </w:r>
      <w:r w:rsidR="00312C7C" w:rsidRPr="00F813EA">
        <w:rPr>
          <w:rStyle w:val="FootnoteReference"/>
          <w:rFonts w:ascii="Acumin Pro" w:hAnsi="Acumin Pro"/>
          <w:sz w:val="24"/>
          <w:szCs w:val="24"/>
        </w:rPr>
        <w:footnoteReference w:id="6"/>
      </w:r>
    </w:p>
    <w:p w14:paraId="170DFBEF" w14:textId="77777777" w:rsidR="00E36EC1" w:rsidRPr="00763077" w:rsidRDefault="00E36EC1" w:rsidP="00E36EC1">
      <w:pPr>
        <w:pStyle w:val="ListParagraph"/>
        <w:ind w:left="714"/>
        <w:jc w:val="both"/>
        <w:rPr>
          <w:rFonts w:ascii="Acumin Pro" w:hAnsi="Acumin Pro"/>
          <w:sz w:val="24"/>
          <w:szCs w:val="24"/>
        </w:rPr>
      </w:pPr>
    </w:p>
    <w:p w14:paraId="67276925" w14:textId="0E86B34E" w:rsidR="00D01093" w:rsidRDefault="00D01093" w:rsidP="00D01093">
      <w:pPr>
        <w:jc w:val="both"/>
        <w:rPr>
          <w:rFonts w:ascii="Neue Machina Ultrabold" w:hAnsi="Neue Machina Ultrabold"/>
          <w:sz w:val="24"/>
          <w:szCs w:val="24"/>
        </w:rPr>
      </w:pPr>
      <w:r w:rsidRPr="00763077">
        <w:rPr>
          <w:rFonts w:ascii="Neue Machina Ultrabold" w:hAnsi="Neue Machina Ultrabold"/>
          <w:sz w:val="24"/>
          <w:szCs w:val="24"/>
        </w:rPr>
        <w:t xml:space="preserve">Problemi </w:t>
      </w:r>
      <w:r w:rsidR="00B11728" w:rsidRPr="00763077">
        <w:rPr>
          <w:rFonts w:ascii="Neue Machina Ultrabold" w:hAnsi="Neue Machina Ultrabold"/>
          <w:sz w:val="24"/>
          <w:szCs w:val="24"/>
        </w:rPr>
        <w:t>sa</w:t>
      </w:r>
      <w:r w:rsidRPr="00763077">
        <w:rPr>
          <w:rFonts w:ascii="Neue Machina Ultrabold" w:hAnsi="Neue Machina Ultrabold"/>
          <w:sz w:val="24"/>
          <w:szCs w:val="24"/>
        </w:rPr>
        <w:t xml:space="preserve"> Zakonom o porezima na imovinu</w:t>
      </w:r>
    </w:p>
    <w:p w14:paraId="609962A5" w14:textId="77777777" w:rsidR="00E36EC1" w:rsidRPr="00763077" w:rsidRDefault="00E36EC1" w:rsidP="00D01093">
      <w:pPr>
        <w:jc w:val="both"/>
        <w:rPr>
          <w:rFonts w:ascii="Neue Machina Ultrabold" w:hAnsi="Neue Machina Ultrabold"/>
          <w:sz w:val="24"/>
          <w:szCs w:val="24"/>
        </w:rPr>
      </w:pPr>
    </w:p>
    <w:p w14:paraId="638CC97D" w14:textId="009121C9" w:rsidR="00B11728" w:rsidRPr="00AE0C9A" w:rsidRDefault="00D01093" w:rsidP="00E36EC1">
      <w:pPr>
        <w:ind w:firstLine="357"/>
        <w:jc w:val="both"/>
        <w:rPr>
          <w:rFonts w:ascii="Acumin Pro" w:hAnsi="Acumin Pro"/>
          <w:sz w:val="24"/>
          <w:szCs w:val="24"/>
        </w:rPr>
      </w:pPr>
      <w:r w:rsidRPr="00763077">
        <w:rPr>
          <w:rFonts w:ascii="Acumin Pro" w:hAnsi="Acumin Pro"/>
          <w:sz w:val="24"/>
          <w:szCs w:val="24"/>
        </w:rPr>
        <w:t>Probleme u oblasti stanovanja i teškoće ugroženih pojedinaca dodatno uvećava Zakon o porezima na imovinu</w:t>
      </w:r>
      <w:r w:rsidR="00763077" w:rsidRPr="00763077">
        <w:rPr>
          <w:rStyle w:val="FootnoteReference"/>
          <w:rFonts w:ascii="Acumin Pro" w:hAnsi="Acumin Pro"/>
          <w:sz w:val="24"/>
          <w:szCs w:val="24"/>
        </w:rPr>
        <w:footnoteReference w:id="7"/>
      </w:r>
      <w:r w:rsidRPr="00763077">
        <w:rPr>
          <w:rFonts w:ascii="Acumin Pro" w:hAnsi="Acumin Pro"/>
          <w:sz w:val="24"/>
          <w:szCs w:val="24"/>
        </w:rPr>
        <w:t xml:space="preserve"> kojim je propisano da su porez na imovinu dužni da plaćaju i zakupci socijalnih stanova, izbeglice i </w:t>
      </w:r>
      <w:r w:rsidR="00B11728" w:rsidRPr="00763077">
        <w:rPr>
          <w:rFonts w:ascii="Acumin Pro" w:hAnsi="Acumin Pro"/>
          <w:sz w:val="24"/>
          <w:szCs w:val="24"/>
        </w:rPr>
        <w:t>sva druga lica</w:t>
      </w:r>
      <w:r w:rsidRPr="00763077">
        <w:rPr>
          <w:rFonts w:ascii="Acumin Pro" w:hAnsi="Acumin Pro"/>
          <w:sz w:val="24"/>
          <w:szCs w:val="24"/>
        </w:rPr>
        <w:t xml:space="preserve"> ako imaju </w:t>
      </w:r>
      <w:r w:rsidR="00B11728" w:rsidRPr="00763077">
        <w:rPr>
          <w:rFonts w:ascii="Acumin Pro" w:hAnsi="Acumin Pro"/>
          <w:sz w:val="24"/>
          <w:szCs w:val="24"/>
        </w:rPr>
        <w:t xml:space="preserve">zaključen </w:t>
      </w:r>
      <w:r w:rsidRPr="00763077">
        <w:rPr>
          <w:rFonts w:ascii="Acumin Pro" w:hAnsi="Acumin Pro"/>
          <w:sz w:val="24"/>
          <w:szCs w:val="24"/>
        </w:rPr>
        <w:t xml:space="preserve">ugovor o zakupu duži od godinu dana. </w:t>
      </w:r>
      <w:r w:rsidR="00B11728" w:rsidRPr="00763077">
        <w:rPr>
          <w:rFonts w:ascii="Acumin Pro" w:hAnsi="Acumin Pro"/>
          <w:sz w:val="24"/>
          <w:szCs w:val="24"/>
        </w:rPr>
        <w:t xml:space="preserve">Tako je članom 2. ovog Zakona propisano da se pravom zakupa smatra </w:t>
      </w:r>
      <w:r w:rsidR="00B11728" w:rsidRPr="00AE0C9A">
        <w:rPr>
          <w:rFonts w:ascii="Acumin Pro" w:hAnsi="Acumin Pro" w:cs="Open Sans"/>
          <w:sz w:val="24"/>
          <w:szCs w:val="24"/>
        </w:rPr>
        <w:t>pravo zakupa za period duži od jedne godine ili na neodređeno vreme, za koji je propisano plaćanje neprofitne zakupnine ili zakupnine koja se obračunava primenom propisanih kriterijuma i merila, u skladu sa zakonima kojima se uređuju:</w:t>
      </w:r>
    </w:p>
    <w:p w14:paraId="2B1AB287" w14:textId="7FD2FFCF" w:rsidR="00B11728" w:rsidRPr="00AE0C9A" w:rsidRDefault="00B11728" w:rsidP="00EB44BC">
      <w:pPr>
        <w:pStyle w:val="Normal1"/>
        <w:numPr>
          <w:ilvl w:val="0"/>
          <w:numId w:val="3"/>
        </w:numPr>
        <w:shd w:val="clear" w:color="auto" w:fill="FFFFFF"/>
        <w:spacing w:before="0" w:beforeAutospacing="0" w:after="0" w:afterAutospacing="0"/>
        <w:ind w:left="714" w:hanging="357"/>
        <w:rPr>
          <w:rFonts w:ascii="Acumin Pro" w:hAnsi="Acumin Pro" w:cs="Arial"/>
        </w:rPr>
      </w:pPr>
      <w:r w:rsidRPr="00AE0C9A">
        <w:rPr>
          <w:rFonts w:ascii="Acumin Pro" w:hAnsi="Acumin Pro" w:cs="Arial"/>
        </w:rPr>
        <w:t>stanovanje i održavanje zgrada, odnosno u skladu sa posebnim propisima kojima je bilo uređeno stanovanje koji su prestali da važe danom početka primene zakona kojim je uređeno stanovanje i održavanje zgrada;</w:t>
      </w:r>
    </w:p>
    <w:p w14:paraId="3A3FB105" w14:textId="66D4A6C7" w:rsidR="00B11728" w:rsidRPr="00AE0C9A" w:rsidRDefault="00B11728" w:rsidP="00EB44BC">
      <w:pPr>
        <w:pStyle w:val="Normal1"/>
        <w:numPr>
          <w:ilvl w:val="0"/>
          <w:numId w:val="3"/>
        </w:numPr>
        <w:shd w:val="clear" w:color="auto" w:fill="FFFFFF"/>
        <w:spacing w:before="0" w:beforeAutospacing="0" w:after="0" w:afterAutospacing="0"/>
        <w:ind w:left="714" w:hanging="357"/>
        <w:rPr>
          <w:rFonts w:ascii="Acumin Pro" w:hAnsi="Acumin Pro" w:cs="Arial"/>
        </w:rPr>
      </w:pPr>
      <w:r w:rsidRPr="00AE0C9A">
        <w:rPr>
          <w:rFonts w:ascii="Acumin Pro" w:hAnsi="Acumin Pro" w:cs="Arial"/>
        </w:rPr>
        <w:lastRenderedPageBreak/>
        <w:t>javna svojina;</w:t>
      </w:r>
    </w:p>
    <w:p w14:paraId="3876EDB3" w14:textId="070EFDA8" w:rsidR="00B11728" w:rsidRPr="00AE0C9A" w:rsidRDefault="00B11728" w:rsidP="00EB44BC">
      <w:pPr>
        <w:pStyle w:val="Normal1"/>
        <w:numPr>
          <w:ilvl w:val="0"/>
          <w:numId w:val="3"/>
        </w:numPr>
        <w:shd w:val="clear" w:color="auto" w:fill="FFFFFF"/>
        <w:spacing w:before="0" w:beforeAutospacing="0" w:after="0" w:afterAutospacing="0"/>
        <w:ind w:left="714" w:hanging="357"/>
        <w:rPr>
          <w:rFonts w:ascii="Acumin Pro" w:hAnsi="Acumin Pro" w:cs="Arial"/>
        </w:rPr>
      </w:pPr>
      <w:r w:rsidRPr="00AE0C9A">
        <w:rPr>
          <w:rFonts w:ascii="Acumin Pro" w:hAnsi="Acumin Pro" w:cs="Arial"/>
        </w:rPr>
        <w:t>prava boraca, vojnih invalida i porodica palih boraca;</w:t>
      </w:r>
    </w:p>
    <w:p w14:paraId="336C0D57" w14:textId="6525D5F1" w:rsidR="00B11728" w:rsidRPr="00AE0C9A" w:rsidRDefault="00B11728" w:rsidP="00EB44BC">
      <w:pPr>
        <w:pStyle w:val="Normal1"/>
        <w:numPr>
          <w:ilvl w:val="0"/>
          <w:numId w:val="3"/>
        </w:numPr>
        <w:shd w:val="clear" w:color="auto" w:fill="FFFFFF"/>
        <w:spacing w:before="0" w:beforeAutospacing="0" w:after="0" w:afterAutospacing="0"/>
        <w:ind w:left="714" w:hanging="357"/>
        <w:rPr>
          <w:rFonts w:ascii="Acumin Pro" w:hAnsi="Acumin Pro" w:cs="Arial"/>
        </w:rPr>
      </w:pPr>
      <w:r w:rsidRPr="00AE0C9A">
        <w:rPr>
          <w:rFonts w:ascii="Acumin Pro" w:hAnsi="Acumin Pro" w:cs="Arial"/>
        </w:rPr>
        <w:t>zbrinjavanje izbeglica.</w:t>
      </w:r>
    </w:p>
    <w:p w14:paraId="0F006364" w14:textId="77777777" w:rsidR="00763077" w:rsidRPr="00763077" w:rsidRDefault="00763077" w:rsidP="00763077">
      <w:pPr>
        <w:pStyle w:val="Normal1"/>
        <w:shd w:val="clear" w:color="auto" w:fill="FFFFFF"/>
        <w:spacing w:before="0" w:beforeAutospacing="0" w:after="0" w:afterAutospacing="0"/>
        <w:rPr>
          <w:rFonts w:ascii="Acumin Pro" w:hAnsi="Acumin Pro" w:cs="Arial"/>
          <w:color w:val="333333"/>
        </w:rPr>
      </w:pPr>
    </w:p>
    <w:p w14:paraId="6DF9A09B" w14:textId="71751323" w:rsidR="00D01093" w:rsidRPr="00763077" w:rsidRDefault="00D01093" w:rsidP="00D01093">
      <w:pPr>
        <w:jc w:val="both"/>
        <w:rPr>
          <w:rFonts w:ascii="Acumin Pro" w:hAnsi="Acumin Pro"/>
          <w:sz w:val="24"/>
          <w:szCs w:val="24"/>
        </w:rPr>
      </w:pPr>
      <w:r w:rsidRPr="00763077">
        <w:rPr>
          <w:rFonts w:ascii="Acumin Pro" w:hAnsi="Acumin Pro"/>
          <w:sz w:val="24"/>
          <w:szCs w:val="24"/>
        </w:rPr>
        <w:t>Dakle, r</w:t>
      </w:r>
      <w:r w:rsidR="00804185" w:rsidRPr="00763077">
        <w:rPr>
          <w:rFonts w:ascii="Acumin Pro" w:hAnsi="Acumin Pro"/>
          <w:sz w:val="24"/>
          <w:szCs w:val="24"/>
        </w:rPr>
        <w:t>eč je o porezu koji su primorani</w:t>
      </w:r>
      <w:r w:rsidRPr="00763077">
        <w:rPr>
          <w:rFonts w:ascii="Acumin Pro" w:hAnsi="Acumin Pro"/>
          <w:sz w:val="24"/>
          <w:szCs w:val="24"/>
        </w:rPr>
        <w:t xml:space="preserve"> da plaćaju građan</w:t>
      </w:r>
      <w:r w:rsidR="00804185" w:rsidRPr="00763077">
        <w:rPr>
          <w:rFonts w:ascii="Acumin Pro" w:hAnsi="Acumin Pro"/>
          <w:sz w:val="24"/>
          <w:szCs w:val="24"/>
        </w:rPr>
        <w:t>i</w:t>
      </w:r>
      <w:r w:rsidRPr="00763077">
        <w:rPr>
          <w:rFonts w:ascii="Acumin Pro" w:hAnsi="Acumin Pro"/>
          <w:sz w:val="24"/>
          <w:szCs w:val="24"/>
        </w:rPr>
        <w:t xml:space="preserve"> koji su već posebno socijalno i stambeno ugroženi i koji su upravo iz tog razloga i ostvarili pravo na zakup predmetnih stanova.</w:t>
      </w:r>
    </w:p>
    <w:p w14:paraId="1C93574B" w14:textId="7A0C3470" w:rsidR="00D01093" w:rsidRPr="00763077" w:rsidRDefault="00D01093" w:rsidP="00D01093">
      <w:pPr>
        <w:jc w:val="both"/>
        <w:rPr>
          <w:rFonts w:ascii="Acumin Pro" w:hAnsi="Acumin Pro"/>
          <w:sz w:val="24"/>
          <w:szCs w:val="24"/>
        </w:rPr>
      </w:pPr>
      <w:r w:rsidRPr="00763077">
        <w:rPr>
          <w:rFonts w:ascii="Acumin Pro" w:hAnsi="Acumin Pro"/>
          <w:sz w:val="24"/>
          <w:szCs w:val="24"/>
        </w:rPr>
        <w:t xml:space="preserve">Takvo rešenje u suprotnosti je i sa obavezama koje država ima prema čl. 11 Pakta o ekonomskim, socijalnim i kulturnim pravima, koj predviđa da stanovanje mora biti priuštivo. </w:t>
      </w:r>
      <w:r w:rsidR="00570E64" w:rsidRPr="00763077">
        <w:rPr>
          <w:rFonts w:ascii="Acumin Pro" w:hAnsi="Acumin Pro"/>
          <w:sz w:val="24"/>
          <w:szCs w:val="24"/>
        </w:rPr>
        <w:t>Ovim problemom</w:t>
      </w:r>
      <w:r w:rsidRPr="00763077">
        <w:rPr>
          <w:rFonts w:ascii="Acumin Pro" w:hAnsi="Acumin Pro"/>
          <w:sz w:val="24"/>
          <w:szCs w:val="24"/>
        </w:rPr>
        <w:t xml:space="preserve"> bavila se i Specijalna izvestiteljka Ujedinjenih nacija za pravo na stanovanje</w:t>
      </w:r>
      <w:r w:rsidR="00B11728" w:rsidRPr="00763077">
        <w:rPr>
          <w:rStyle w:val="FootnoteReference"/>
          <w:rFonts w:ascii="Acumin Pro" w:hAnsi="Acumin Pro"/>
          <w:sz w:val="24"/>
          <w:szCs w:val="24"/>
        </w:rPr>
        <w:footnoteReference w:id="8"/>
      </w:r>
      <w:r w:rsidRPr="00763077">
        <w:rPr>
          <w:rFonts w:ascii="Acumin Pro" w:hAnsi="Acumin Pro"/>
          <w:sz w:val="24"/>
          <w:szCs w:val="24"/>
        </w:rPr>
        <w:t xml:space="preserve"> i preporučila Republici Srbiji da ukine taj porez </w:t>
      </w:r>
      <w:r w:rsidR="00570E64" w:rsidRPr="00763077">
        <w:rPr>
          <w:rFonts w:ascii="Acumin Pro" w:hAnsi="Acumin Pro"/>
          <w:sz w:val="24"/>
          <w:szCs w:val="24"/>
        </w:rPr>
        <w:t xml:space="preserve">za pomenute kategorije građana, </w:t>
      </w:r>
      <w:r w:rsidRPr="00763077">
        <w:rPr>
          <w:rFonts w:ascii="Acumin Pro" w:hAnsi="Acumin Pro"/>
          <w:sz w:val="24"/>
          <w:szCs w:val="24"/>
        </w:rPr>
        <w:t xml:space="preserve">kako bi se </w:t>
      </w:r>
      <w:r w:rsidR="00AE0C9A" w:rsidRPr="00763077">
        <w:rPr>
          <w:rFonts w:ascii="Acumin Pro" w:hAnsi="Acumin Pro"/>
          <w:sz w:val="24"/>
          <w:szCs w:val="24"/>
        </w:rPr>
        <w:t>spre</w:t>
      </w:r>
      <w:r w:rsidR="00AE0C9A">
        <w:rPr>
          <w:rFonts w:ascii="Acumin Pro" w:hAnsi="Acumin Pro"/>
          <w:sz w:val="24"/>
          <w:szCs w:val="24"/>
        </w:rPr>
        <w:t>č</w:t>
      </w:r>
      <w:r w:rsidR="00AE0C9A" w:rsidRPr="00763077">
        <w:rPr>
          <w:rFonts w:ascii="Acumin Pro" w:hAnsi="Acumin Pro"/>
          <w:sz w:val="24"/>
          <w:szCs w:val="24"/>
        </w:rPr>
        <w:t xml:space="preserve">ilo </w:t>
      </w:r>
      <w:r w:rsidR="00570E64" w:rsidRPr="00763077">
        <w:rPr>
          <w:rFonts w:ascii="Acumin Pro" w:hAnsi="Acumin Pro"/>
          <w:sz w:val="24"/>
          <w:szCs w:val="24"/>
        </w:rPr>
        <w:t>da</w:t>
      </w:r>
      <w:r w:rsidRPr="00763077">
        <w:rPr>
          <w:rFonts w:ascii="Acumin Pro" w:hAnsi="Acumin Pro"/>
          <w:sz w:val="24"/>
          <w:szCs w:val="24"/>
        </w:rPr>
        <w:t xml:space="preserve"> </w:t>
      </w:r>
      <w:r w:rsidR="00570E64" w:rsidRPr="00763077">
        <w:rPr>
          <w:rFonts w:ascii="Acumin Pro" w:hAnsi="Acumin Pro"/>
          <w:sz w:val="24"/>
          <w:szCs w:val="24"/>
        </w:rPr>
        <w:t>ugroženi građani postanu beskućnici usled</w:t>
      </w:r>
      <w:r w:rsidRPr="00763077">
        <w:rPr>
          <w:rFonts w:ascii="Acumin Pro" w:hAnsi="Acumin Pro"/>
          <w:sz w:val="24"/>
          <w:szCs w:val="24"/>
        </w:rPr>
        <w:t xml:space="preserve"> dugova koje ima</w:t>
      </w:r>
      <w:r w:rsidR="00570E64" w:rsidRPr="00763077">
        <w:rPr>
          <w:rFonts w:ascii="Acumin Pro" w:hAnsi="Acumin Pro"/>
          <w:sz w:val="24"/>
          <w:szCs w:val="24"/>
        </w:rPr>
        <w:t>ju</w:t>
      </w:r>
      <w:r w:rsidRPr="00763077">
        <w:rPr>
          <w:rFonts w:ascii="Acumin Pro" w:hAnsi="Acumin Pro"/>
          <w:sz w:val="24"/>
          <w:szCs w:val="24"/>
        </w:rPr>
        <w:t xml:space="preserve"> </w:t>
      </w:r>
      <w:r w:rsidR="00570E64" w:rsidRPr="00763077">
        <w:rPr>
          <w:rFonts w:ascii="Acumin Pro" w:hAnsi="Acumin Pro"/>
          <w:sz w:val="24"/>
          <w:szCs w:val="24"/>
        </w:rPr>
        <w:t>u vezi sa stanovanjem</w:t>
      </w:r>
      <w:r w:rsidRPr="00763077">
        <w:rPr>
          <w:rFonts w:ascii="Acumin Pro" w:hAnsi="Acumin Pro"/>
          <w:sz w:val="24"/>
          <w:szCs w:val="24"/>
        </w:rPr>
        <w:t>.</w:t>
      </w:r>
    </w:p>
    <w:p w14:paraId="5B888AD2" w14:textId="010B8B34" w:rsidR="00D01093" w:rsidRPr="00763077" w:rsidRDefault="00D01093" w:rsidP="00D01093">
      <w:pPr>
        <w:jc w:val="both"/>
        <w:rPr>
          <w:rFonts w:ascii="Acumin Pro" w:hAnsi="Acumin Pro"/>
          <w:sz w:val="24"/>
          <w:szCs w:val="24"/>
        </w:rPr>
      </w:pPr>
      <w:r w:rsidRPr="00763077">
        <w:rPr>
          <w:rFonts w:ascii="Acumin Pro" w:hAnsi="Acumin Pro"/>
          <w:sz w:val="24"/>
          <w:szCs w:val="24"/>
        </w:rPr>
        <w:t xml:space="preserve">Izbeglice iz </w:t>
      </w:r>
      <w:r w:rsidR="00AE0C9A" w:rsidRPr="00763077">
        <w:rPr>
          <w:rFonts w:ascii="Acumin Pro" w:hAnsi="Acumin Pro"/>
          <w:sz w:val="24"/>
          <w:szCs w:val="24"/>
        </w:rPr>
        <w:t>bivš</w:t>
      </w:r>
      <w:r w:rsidR="00AE0C9A">
        <w:rPr>
          <w:rFonts w:ascii="Acumin Pro" w:hAnsi="Acumin Pro"/>
          <w:sz w:val="24"/>
          <w:szCs w:val="24"/>
        </w:rPr>
        <w:t>e</w:t>
      </w:r>
      <w:r w:rsidR="00AE0C9A" w:rsidRPr="00763077">
        <w:rPr>
          <w:rFonts w:ascii="Acumin Pro" w:hAnsi="Acumin Pro"/>
          <w:sz w:val="24"/>
          <w:szCs w:val="24"/>
        </w:rPr>
        <w:t xml:space="preserve"> </w:t>
      </w:r>
      <w:r w:rsidRPr="00763077">
        <w:rPr>
          <w:rFonts w:ascii="Acumin Pro" w:hAnsi="Acumin Pro"/>
          <w:sz w:val="24"/>
          <w:szCs w:val="24"/>
        </w:rPr>
        <w:t xml:space="preserve">SFRJ suočavaju se s dodatnim problemom, zbog nepovoljnijeg tretmana prilikom utvrđivanja iznosa ovog poreza. </w:t>
      </w:r>
      <w:r w:rsidRPr="00763077">
        <w:rPr>
          <w:rFonts w:ascii="Acumin Pro" w:hAnsi="Acumin Pro" w:cs="Calibri"/>
          <w:color w:val="000000"/>
          <w:sz w:val="24"/>
          <w:szCs w:val="24"/>
        </w:rPr>
        <w:t>Poreska olakšica u vidu umanjenja poreza do 50% – takozvani „poreski kredit“</w:t>
      </w:r>
      <w:r w:rsidR="00824962" w:rsidRPr="00763077">
        <w:rPr>
          <w:rFonts w:ascii="Acumin Pro" w:hAnsi="Acumin Pro" w:cs="Calibri"/>
          <w:color w:val="000000"/>
          <w:sz w:val="24"/>
          <w:szCs w:val="24"/>
        </w:rPr>
        <w:t>,</w:t>
      </w:r>
      <w:r w:rsidR="000C7B08">
        <w:rPr>
          <w:rStyle w:val="FootnoteReference"/>
          <w:rFonts w:ascii="Acumin Pro" w:hAnsi="Acumin Pro" w:cs="Calibri"/>
          <w:color w:val="000000"/>
          <w:sz w:val="24"/>
          <w:szCs w:val="24"/>
        </w:rPr>
        <w:footnoteReference w:id="9"/>
      </w:r>
      <w:r w:rsidRPr="00763077">
        <w:rPr>
          <w:rFonts w:ascii="Acumin Pro" w:hAnsi="Acumin Pro" w:cs="Calibri"/>
          <w:color w:val="000000"/>
          <w:sz w:val="24"/>
          <w:szCs w:val="24"/>
        </w:rPr>
        <w:t xml:space="preserve"> koji se odobrava svakom poreskom obvezniku za objekat u kome stanuje,  izbeglicama nije dostupan. Ovo zbog toga</w:t>
      </w:r>
      <w:r w:rsidR="00B11728" w:rsidRPr="00763077">
        <w:rPr>
          <w:rFonts w:ascii="Acumin Pro" w:hAnsi="Acumin Pro" w:cs="Calibri"/>
          <w:color w:val="000000"/>
          <w:sz w:val="24"/>
          <w:szCs w:val="24"/>
        </w:rPr>
        <w:t xml:space="preserve"> što</w:t>
      </w:r>
      <w:r w:rsidRPr="00763077">
        <w:rPr>
          <w:rFonts w:ascii="Acumin Pro" w:hAnsi="Acumin Pro" w:cs="Calibri"/>
          <w:color w:val="000000"/>
          <w:sz w:val="24"/>
          <w:szCs w:val="24"/>
        </w:rPr>
        <w:t xml:space="preserve"> prema obavezujućem mišljenju </w:t>
      </w:r>
      <w:r w:rsidRPr="00763077">
        <w:rPr>
          <w:rFonts w:ascii="Acumin Pro" w:hAnsi="Acumin Pro"/>
          <w:sz w:val="24"/>
          <w:szCs w:val="24"/>
        </w:rPr>
        <w:t>Ministarstva finansija</w:t>
      </w:r>
      <w:r w:rsidR="00B11728" w:rsidRPr="00763077">
        <w:rPr>
          <w:rStyle w:val="FootnoteReference"/>
          <w:rFonts w:ascii="Acumin Pro" w:hAnsi="Acumin Pro"/>
          <w:sz w:val="24"/>
          <w:szCs w:val="24"/>
        </w:rPr>
        <w:footnoteReference w:id="10"/>
      </w:r>
      <w:r w:rsidRPr="00763077">
        <w:rPr>
          <w:rFonts w:ascii="Acumin Pro" w:hAnsi="Acumin Pro"/>
          <w:sz w:val="24"/>
          <w:szCs w:val="24"/>
        </w:rPr>
        <w:t xml:space="preserve">, moraju da imaju prijavu prebivališta u stanu u kome žive kako bi ostvarili pravo na poresku olakšicu. Osim prijave prebivališta, ne prihvata se nijedno drugo dokazno sredstvo, za potrebe ostvarivanja prava na poreski kredit.  Međutim, mnoge izbeglice nemaju prebivalište u Republici Srbiji, već samo boravište. Zbog toga izbeglice, ne samo da </w:t>
      </w:r>
      <w:r w:rsidR="00824962" w:rsidRPr="00763077">
        <w:rPr>
          <w:rFonts w:ascii="Acumin Pro" w:hAnsi="Acumin Pro"/>
          <w:sz w:val="24"/>
          <w:szCs w:val="24"/>
        </w:rPr>
        <w:t>moraju da plaćaju</w:t>
      </w:r>
      <w:r w:rsidRPr="00763077">
        <w:rPr>
          <w:rFonts w:ascii="Acumin Pro" w:hAnsi="Acumin Pro"/>
          <w:sz w:val="24"/>
          <w:szCs w:val="24"/>
        </w:rPr>
        <w:t xml:space="preserve"> porez na imovinu na stan koji su dobili u zakup, nego je iznos poreza koji moraju da plate dvostruko veći nego iznos koji plaćaju ostali građani Srbije, koji imaju prijavu prebivališta. Prema ustaljenoj praksi Evropskog suda za ljudska prava,</w:t>
      </w:r>
      <w:r w:rsidR="004739E4">
        <w:rPr>
          <w:rStyle w:val="FootnoteReference"/>
          <w:rFonts w:ascii="Acumin Pro" w:hAnsi="Acumin Pro"/>
          <w:sz w:val="24"/>
          <w:szCs w:val="24"/>
        </w:rPr>
        <w:footnoteReference w:id="11"/>
      </w:r>
      <w:r w:rsidRPr="00763077">
        <w:rPr>
          <w:rFonts w:ascii="Acumin Pro" w:hAnsi="Acumin Pro"/>
          <w:sz w:val="24"/>
          <w:szCs w:val="24"/>
        </w:rPr>
        <w:t xml:space="preserve"> ovakav nepovoljniji poreski tretman izbeglica i uskraćivanje poreske olakšice koje pripadaju svim ostalim građanima Srbije, koji za razliku od izbeglica, imaju prijavljeno prebivalište, predstavlja diskriminaciju.</w:t>
      </w:r>
    </w:p>
    <w:p w14:paraId="6FA648D3" w14:textId="77777777" w:rsidR="00EB44BC" w:rsidRPr="00763077" w:rsidRDefault="00EB44BC" w:rsidP="00D01093">
      <w:pPr>
        <w:jc w:val="both"/>
        <w:rPr>
          <w:rFonts w:ascii="Acumin Pro" w:hAnsi="Acumin Pro"/>
          <w:sz w:val="24"/>
          <w:szCs w:val="24"/>
        </w:rPr>
      </w:pPr>
    </w:p>
    <w:p w14:paraId="609F3D6A" w14:textId="77777777" w:rsidR="00F813EA" w:rsidRDefault="00F813EA">
      <w:pPr>
        <w:rPr>
          <w:rFonts w:ascii="Neue Machina Ultrabold" w:hAnsi="Neue Machina Ultrabold"/>
          <w:sz w:val="24"/>
          <w:szCs w:val="24"/>
        </w:rPr>
      </w:pPr>
      <w:r>
        <w:rPr>
          <w:rFonts w:ascii="Neue Machina Ultrabold" w:hAnsi="Neue Machina Ultrabold"/>
          <w:sz w:val="24"/>
          <w:szCs w:val="24"/>
        </w:rPr>
        <w:br w:type="page"/>
      </w:r>
    </w:p>
    <w:p w14:paraId="66E18CBC" w14:textId="7F00E6B2" w:rsidR="00B11728" w:rsidRPr="00EB44BC" w:rsidRDefault="00B11728" w:rsidP="00D01093">
      <w:pPr>
        <w:jc w:val="both"/>
        <w:rPr>
          <w:rFonts w:ascii="Neue Machina Ultrabold" w:hAnsi="Neue Machina Ultrabold"/>
          <w:sz w:val="24"/>
          <w:szCs w:val="24"/>
        </w:rPr>
      </w:pPr>
      <w:r w:rsidRPr="00EB44BC">
        <w:rPr>
          <w:rFonts w:ascii="Neue Machina Ultrabold" w:hAnsi="Neue Machina Ultrabold"/>
          <w:sz w:val="24"/>
          <w:szCs w:val="24"/>
        </w:rPr>
        <w:lastRenderedPageBreak/>
        <w:t xml:space="preserve">Problemi sa Zakonom o socijalnoj zaštiti </w:t>
      </w:r>
      <w:r w:rsidR="00763077" w:rsidRPr="00EB44BC">
        <w:rPr>
          <w:rFonts w:ascii="Neue Machina Ultrabold" w:hAnsi="Neue Machina Ultrabold"/>
          <w:sz w:val="24"/>
          <w:szCs w:val="24"/>
        </w:rPr>
        <w:t xml:space="preserve">i merama socijalnog uključivanja korisnika novčane socijalne pomoći </w:t>
      </w:r>
    </w:p>
    <w:p w14:paraId="56502111" w14:textId="5B116590" w:rsidR="00763077" w:rsidRPr="00763077" w:rsidRDefault="00763077" w:rsidP="00D01093">
      <w:pPr>
        <w:jc w:val="both"/>
        <w:rPr>
          <w:rFonts w:ascii="Acumin Pro" w:hAnsi="Acumin Pro"/>
          <w:sz w:val="24"/>
          <w:szCs w:val="24"/>
        </w:rPr>
      </w:pPr>
    </w:p>
    <w:p w14:paraId="45721DBA" w14:textId="58C1D68D" w:rsidR="00763077" w:rsidRDefault="00763077" w:rsidP="00E36EC1">
      <w:pPr>
        <w:ind w:firstLine="708"/>
        <w:jc w:val="both"/>
        <w:rPr>
          <w:rFonts w:ascii="Acumin Pro" w:hAnsi="Acumin Pro"/>
          <w:sz w:val="24"/>
          <w:szCs w:val="24"/>
        </w:rPr>
      </w:pPr>
      <w:r w:rsidRPr="00763077">
        <w:rPr>
          <w:rFonts w:ascii="Acumin Pro" w:hAnsi="Acumin Pro"/>
          <w:sz w:val="24"/>
          <w:szCs w:val="24"/>
        </w:rPr>
        <w:t>Zakon o socijalnoj zaštiti</w:t>
      </w:r>
      <w:r w:rsidRPr="00763077">
        <w:rPr>
          <w:rStyle w:val="FootnoteReference"/>
          <w:rFonts w:ascii="Acumin Pro" w:hAnsi="Acumin Pro"/>
          <w:sz w:val="24"/>
          <w:szCs w:val="24"/>
        </w:rPr>
        <w:footnoteReference w:id="12"/>
      </w:r>
      <w:r w:rsidRPr="00763077">
        <w:rPr>
          <w:rFonts w:ascii="Acumin Pro" w:hAnsi="Acumin Pro"/>
          <w:sz w:val="24"/>
          <w:szCs w:val="24"/>
        </w:rPr>
        <w:t xml:space="preserve"> sadrži brojne odredbe koje u posebno težak položaj stavljaju najugroženije korisnike sistema socijalne zaštite, a uslovi koji su propisani za ostvarivanje prava na socijalnu zaštitu nisu uspostavljeni na način da olakšaju korisnicima pristup ovim pravima. Uz to, sistem socijalne zaštite je takav da predviđa izuzetno niska socijalna davanja koja nisu dovoljna da omoguće pojedincima da izađu iz kruga siromaštva. </w:t>
      </w:r>
    </w:p>
    <w:p w14:paraId="1F50C055" w14:textId="4E3591B5" w:rsidR="00EB44BC" w:rsidRPr="00AF65E0" w:rsidRDefault="00EB44BC" w:rsidP="00D01093">
      <w:pPr>
        <w:jc w:val="both"/>
        <w:rPr>
          <w:rFonts w:ascii="Acumin Pro" w:hAnsi="Acumin Pro" w:cs="Open Sans"/>
          <w:sz w:val="24"/>
          <w:szCs w:val="24"/>
          <w:shd w:val="clear" w:color="auto" w:fill="FFFFFF"/>
        </w:rPr>
      </w:pPr>
      <w:r w:rsidRPr="00EB44BC">
        <w:rPr>
          <w:rFonts w:ascii="Acumin Pro" w:hAnsi="Acumin Pro"/>
          <w:sz w:val="24"/>
          <w:szCs w:val="24"/>
        </w:rPr>
        <w:t xml:space="preserve">Pre svega, Zakonom je u čl. 84. propisano da je pojedinac koje je nesposoban za rad, uz zahtev za ostvarivanje prava na novčanu socijalnu pomoć </w:t>
      </w:r>
      <w:r w:rsidRPr="00EB44BC">
        <w:rPr>
          <w:rFonts w:ascii="Acumin Pro" w:hAnsi="Acumin Pro" w:cs="Open Sans"/>
          <w:color w:val="333333"/>
          <w:sz w:val="24"/>
          <w:szCs w:val="24"/>
          <w:shd w:val="clear" w:color="auto" w:fill="FFFFFF"/>
        </w:rPr>
        <w:t xml:space="preserve">dužan da </w:t>
      </w:r>
      <w:r w:rsidRPr="00AF65E0">
        <w:rPr>
          <w:rFonts w:ascii="Acumin Pro" w:hAnsi="Acumin Pro" w:cs="Open Sans"/>
          <w:sz w:val="24"/>
          <w:szCs w:val="24"/>
          <w:shd w:val="clear" w:color="auto" w:fill="FFFFFF"/>
        </w:rPr>
        <w:t>dostavi i pravnosnažnu sudsku odluku o izdržavanju od srodnika, odnosno sudsko poravnanje zaključeno sa srodnikom u skladu sa zakonom kojim se uređuju porodični odnosi ili dokaz da je kod nadležnog suda pokrenuo postupak radi utvrđivanja obaveze izdržavanja od srodnika, u onim slučajevima u kojima su srodnici dužni da učestvuju u izdržavanju. Ova odredba odvraća mnoge ugrožene građane od podnošenja zahteva za novčanu socijalnu pomoć usled nemogućnosti podnošenja tužbe, odluke da ne pokreću sudske postupke protiv srodnika zbog „sramote“ ili drugih kulturnih obrazaca, ili jednostavno usled nepostojanja dostupne besplatne pravne pomoći.</w:t>
      </w:r>
      <w:r w:rsidRPr="00AF65E0">
        <w:rPr>
          <w:rStyle w:val="FootnoteReference"/>
          <w:rFonts w:ascii="Acumin Pro" w:hAnsi="Acumin Pro" w:cs="Open Sans"/>
          <w:sz w:val="24"/>
          <w:szCs w:val="24"/>
          <w:shd w:val="clear" w:color="auto" w:fill="FFFFFF"/>
        </w:rPr>
        <w:footnoteReference w:id="13"/>
      </w:r>
    </w:p>
    <w:p w14:paraId="19F180B8" w14:textId="32E7EF81" w:rsidR="002152E4" w:rsidRPr="00AF65E0" w:rsidRDefault="00EB44BC" w:rsidP="00D01093">
      <w:pPr>
        <w:jc w:val="both"/>
        <w:rPr>
          <w:rFonts w:ascii="Acumin Pro" w:hAnsi="Acumin Pro" w:cs="Open Sans"/>
          <w:sz w:val="24"/>
          <w:szCs w:val="24"/>
          <w:shd w:val="clear" w:color="auto" w:fill="FFFFFF"/>
        </w:rPr>
      </w:pPr>
      <w:r w:rsidRPr="00AF65E0">
        <w:rPr>
          <w:rFonts w:ascii="Acumin Pro" w:hAnsi="Acumin Pro" w:cs="Open Sans"/>
          <w:sz w:val="24"/>
          <w:szCs w:val="24"/>
          <w:shd w:val="clear" w:color="auto" w:fill="FFFFFF"/>
        </w:rPr>
        <w:t xml:space="preserve">Nadalje, zakonom je u čl. 85, stav 3 propisano da radno sposobni korisnici sistema socijalne zaštite, odnosno porodice u kojima je većina članova sposobna za rad, novčanu socijalnu pomoć primaju u trajanju do devet meseci u toku kalendarske godine, ako ispunjavaju uslove propisane ovim zakonom. Ovaj prekid u primanju socijalne pomoći bio je tema poslednjeg </w:t>
      </w:r>
      <w:r w:rsidR="002152E4" w:rsidRPr="00AF65E0">
        <w:rPr>
          <w:rFonts w:ascii="Acumin Pro" w:hAnsi="Acumin Pro" w:cs="Open Sans"/>
          <w:sz w:val="24"/>
          <w:szCs w:val="24"/>
          <w:shd w:val="clear" w:color="auto" w:fill="FFFFFF"/>
        </w:rPr>
        <w:t xml:space="preserve">konstruktivnog dijaloga koji je o Republika Srbija vodila sa Komitetom Ujedinjenih nacija za ekonomska, socijalna i kulturna prava povodom razmatranja sprovođenja obaveza koje Republika Srbija ima prema ovom međunarodnom ugovoru. Tom prilikom Komitet je preporučio da Republika Srbija spreči </w:t>
      </w:r>
      <w:r w:rsidR="00E804F8" w:rsidRPr="00AF65E0">
        <w:rPr>
          <w:rFonts w:ascii="Acumin Pro" w:hAnsi="Acumin Pro" w:cs="Open Sans"/>
          <w:sz w:val="24"/>
          <w:szCs w:val="24"/>
          <w:shd w:val="clear" w:color="auto" w:fill="FFFFFF"/>
        </w:rPr>
        <w:t>neopravdane</w:t>
      </w:r>
      <w:r w:rsidR="002152E4" w:rsidRPr="00AF65E0">
        <w:rPr>
          <w:rFonts w:ascii="Acumin Pro" w:hAnsi="Acumin Pro" w:cs="Open Sans"/>
          <w:sz w:val="24"/>
          <w:szCs w:val="24"/>
          <w:shd w:val="clear" w:color="auto" w:fill="FFFFFF"/>
        </w:rPr>
        <w:t xml:space="preserve"> prekide u isplatama socijalne pomoći</w:t>
      </w:r>
      <w:r w:rsidR="00E804F8" w:rsidRPr="00AF65E0">
        <w:rPr>
          <w:rFonts w:ascii="Acumin Pro" w:hAnsi="Acumin Pro" w:cs="Open Sans"/>
          <w:sz w:val="24"/>
          <w:szCs w:val="24"/>
          <w:shd w:val="clear" w:color="auto" w:fill="FFFFFF"/>
        </w:rPr>
        <w:t>,</w:t>
      </w:r>
      <w:r w:rsidR="00E804F8" w:rsidRPr="00AF65E0">
        <w:rPr>
          <w:rStyle w:val="FootnoteReference"/>
          <w:rFonts w:ascii="Acumin Pro" w:hAnsi="Acumin Pro" w:cs="Open Sans"/>
          <w:sz w:val="24"/>
          <w:szCs w:val="24"/>
          <w:shd w:val="clear" w:color="auto" w:fill="FFFFFF"/>
        </w:rPr>
        <w:footnoteReference w:id="14"/>
      </w:r>
      <w:r w:rsidR="00E804F8" w:rsidRPr="00AF65E0">
        <w:rPr>
          <w:rFonts w:ascii="Acumin Pro" w:hAnsi="Acumin Pro" w:cs="Open Sans"/>
          <w:sz w:val="24"/>
          <w:szCs w:val="24"/>
          <w:shd w:val="clear" w:color="auto" w:fill="FFFFFF"/>
        </w:rPr>
        <w:t xml:space="preserve"> ali je ova tema potpuno zapostavljena u sistemu socijalne zaštite. Nadalje, Zakonom je u čl. 88 propisano da porodica koja ima više od šest članova ima pravo na novčanu socijalnu pomoć za šest članova. Ovime se </w:t>
      </w:r>
      <w:r w:rsidR="000E7F09">
        <w:rPr>
          <w:rFonts w:ascii="Acumin Pro" w:hAnsi="Acumin Pro" w:cs="Open Sans"/>
          <w:sz w:val="24"/>
          <w:szCs w:val="24"/>
          <w:shd w:val="clear" w:color="auto" w:fill="FFFFFF"/>
        </w:rPr>
        <w:t xml:space="preserve">dodatno uvećava rizik od marginalizacije i </w:t>
      </w:r>
      <w:r w:rsidR="00E71A2B">
        <w:rPr>
          <w:rFonts w:ascii="Acumin Pro" w:hAnsi="Acumin Pro" w:cs="Open Sans"/>
          <w:sz w:val="24"/>
          <w:szCs w:val="24"/>
          <w:shd w:val="clear" w:color="auto" w:fill="FFFFFF"/>
        </w:rPr>
        <w:t>izostanka adekvatne podrške za</w:t>
      </w:r>
      <w:r w:rsidR="000E7F09">
        <w:rPr>
          <w:rFonts w:ascii="Acumin Pro" w:hAnsi="Acumin Pro" w:cs="Open Sans"/>
          <w:sz w:val="24"/>
          <w:szCs w:val="24"/>
          <w:shd w:val="clear" w:color="auto" w:fill="FFFFFF"/>
        </w:rPr>
        <w:t xml:space="preserve"> </w:t>
      </w:r>
      <w:r w:rsidR="00E804F8" w:rsidRPr="00AF65E0">
        <w:rPr>
          <w:rFonts w:ascii="Acumin Pro" w:hAnsi="Acumin Pro" w:cs="Open Sans"/>
          <w:sz w:val="24"/>
          <w:szCs w:val="24"/>
          <w:shd w:val="clear" w:color="auto" w:fill="FFFFFF"/>
        </w:rPr>
        <w:t xml:space="preserve">porodice koje imaju više od četiri deteta. Imajući u vidu da je prema podacima Republičkog zavoda za statistiku samo </w:t>
      </w:r>
      <w:r w:rsidR="008202DA" w:rsidRPr="00AF65E0">
        <w:rPr>
          <w:rFonts w:ascii="Acumin Pro" w:hAnsi="Acumin Pro" w:cs="Open Sans"/>
          <w:sz w:val="24"/>
          <w:szCs w:val="24"/>
          <w:shd w:val="clear" w:color="auto" w:fill="FFFFFF"/>
        </w:rPr>
        <w:t xml:space="preserve">5246 porodica koje imaju pet i više dece, ova odredba ne utiče na veliki broj građana kojima je potrebna socijalna pomoć, </w:t>
      </w:r>
      <w:r w:rsidR="008202DA" w:rsidRPr="00AF65E0">
        <w:rPr>
          <w:rFonts w:ascii="Acumin Pro" w:hAnsi="Acumin Pro" w:cs="Open Sans"/>
          <w:sz w:val="24"/>
          <w:szCs w:val="24"/>
          <w:shd w:val="clear" w:color="auto" w:fill="FFFFFF"/>
        </w:rPr>
        <w:lastRenderedPageBreak/>
        <w:t xml:space="preserve">ali one porodice koje imaju više dece, među kojima je posebno izražen broj romskih porodica, stavljaju u nepovoljniji položaj i ekonomski iscrpljuju. </w:t>
      </w:r>
    </w:p>
    <w:p w14:paraId="179A9327" w14:textId="5873BA65" w:rsidR="00B11728" w:rsidRPr="00763077" w:rsidRDefault="008202DA" w:rsidP="00D01093">
      <w:pPr>
        <w:jc w:val="both"/>
        <w:rPr>
          <w:rFonts w:ascii="Acumin Pro" w:hAnsi="Acumin Pro"/>
          <w:sz w:val="24"/>
          <w:szCs w:val="24"/>
        </w:rPr>
      </w:pPr>
      <w:r>
        <w:rPr>
          <w:rFonts w:ascii="Acumin Pro" w:hAnsi="Acumin Pro"/>
          <w:sz w:val="24"/>
          <w:szCs w:val="24"/>
        </w:rPr>
        <w:t>Na kraju, iznos novčane socija</w:t>
      </w:r>
      <w:r w:rsidR="00F813EA">
        <w:rPr>
          <w:rFonts w:ascii="Acumin Pro" w:hAnsi="Acumin Pro"/>
          <w:sz w:val="24"/>
          <w:szCs w:val="24"/>
        </w:rPr>
        <w:t>l</w:t>
      </w:r>
      <w:r>
        <w:rPr>
          <w:rFonts w:ascii="Acumin Pro" w:hAnsi="Acumin Pro"/>
          <w:sz w:val="24"/>
          <w:szCs w:val="24"/>
        </w:rPr>
        <w:t xml:space="preserve">ne pomoći toliko je nizak da ni na koji način ne zadovoljava svoju svrhu, a porodice i pojedinci koji su u potrebi za ostvarivanjem prava </w:t>
      </w:r>
      <w:r>
        <w:rPr>
          <w:rFonts w:ascii="Acumin Pro" w:hAnsi="Acumin Pro"/>
          <w:sz w:val="24"/>
          <w:szCs w:val="24"/>
        </w:rPr>
        <w:t xml:space="preserve">na novčanu socijalnu pomoć, uz dobijanje ove pomoći i dalje ne mogu da </w:t>
      </w:r>
      <w:r w:rsidR="00A600F6">
        <w:rPr>
          <w:rFonts w:ascii="Acumin Pro" w:hAnsi="Acumin Pro"/>
          <w:sz w:val="24"/>
          <w:szCs w:val="24"/>
        </w:rPr>
        <w:t xml:space="preserve">obezbede </w:t>
      </w:r>
      <w:r>
        <w:rPr>
          <w:rFonts w:ascii="Acumin Pro" w:hAnsi="Acumin Pro"/>
          <w:sz w:val="24"/>
          <w:szCs w:val="24"/>
        </w:rPr>
        <w:t xml:space="preserve">minimum egzistencije. Naime, prema poslednjem dostupnom rešenju o nominalnom iznosu novčane socijalne pomoći, ona u Srbiji za pojedinca iznosi 8626,00 dinara. </w:t>
      </w:r>
    </w:p>
    <w:p w14:paraId="21EEABB7" w14:textId="145567CF" w:rsidR="008202DA" w:rsidRPr="00855927" w:rsidRDefault="008202DA" w:rsidP="00D01093">
      <w:pPr>
        <w:jc w:val="both"/>
        <w:rPr>
          <w:rFonts w:ascii="Acumin Pro" w:hAnsi="Acumin Pro"/>
          <w:sz w:val="24"/>
          <w:szCs w:val="24"/>
        </w:rPr>
      </w:pPr>
      <w:r w:rsidRPr="00855927">
        <w:rPr>
          <w:rFonts w:ascii="Acumin Pro" w:hAnsi="Acumin Pro"/>
          <w:sz w:val="24"/>
          <w:szCs w:val="24"/>
        </w:rPr>
        <w:t>Uz to, Uredba o merama socijalnog uključivanja korisnika novčane socijalne pomoći</w:t>
      </w:r>
      <w:r w:rsidR="00E36EC1">
        <w:rPr>
          <w:rStyle w:val="FootnoteReference"/>
          <w:rFonts w:ascii="Acumin Pro" w:hAnsi="Acumin Pro"/>
          <w:sz w:val="24"/>
          <w:szCs w:val="24"/>
        </w:rPr>
        <w:footnoteReference w:id="15"/>
      </w:r>
      <w:r w:rsidRPr="00855927">
        <w:rPr>
          <w:rFonts w:ascii="Acumin Pro" w:hAnsi="Acumin Pro"/>
          <w:sz w:val="24"/>
          <w:szCs w:val="24"/>
        </w:rPr>
        <w:t xml:space="preserve"> propisala je dodatne uslove koje korisnici treba da ispune, a koji su takvi da se njima krše prava korisnika i da se prema praksi Evropskog suda za ljudska prava može govoriti o prinudnom, neplaćenom radu. Usvajanje Uredbe obrazlagano je kao mera koje će doprineti zapošljavanju najsiromašnijih građana. Uredbom je, između ostalog, predviđeno da se radno sposobni korisnici novčane socijalne pomoći po nalogu centra za socijalni rad uključuju u društveno koristan rad, odnosno rad u lokalnoj zajednici. Oni koji odbiju ovaj vid aktivacije mogu izgubiti ili im se može umanjiti socijalna pomoć koja im po zakonu pripada. Društveno koristan rad koji obavljaju neplaćen je, a poslovi koji se obavljaju ni na koji način ne pomažu podizanju kompetencija i većim mogućnostima za zapošljavanje korisnika novčane socijalne pomoći. Najmanje deset hiljada ljudi, prema istraživanju </w:t>
      </w:r>
      <w:r w:rsidR="00A600F6">
        <w:rPr>
          <w:rFonts w:ascii="Acumin Pro" w:hAnsi="Acumin Pro"/>
          <w:sz w:val="24"/>
          <w:szCs w:val="24"/>
        </w:rPr>
        <w:t xml:space="preserve">Inicijative A 11 </w:t>
      </w:r>
      <w:r w:rsidRPr="00855927">
        <w:rPr>
          <w:rFonts w:ascii="Acumin Pro" w:hAnsi="Acumin Pro"/>
          <w:sz w:val="24"/>
          <w:szCs w:val="24"/>
        </w:rPr>
        <w:t xml:space="preserve">sprovedenom povodom četiri godine od početka primene Uredbe, </w:t>
      </w:r>
      <w:r w:rsidR="00855927" w:rsidRPr="00855927">
        <w:rPr>
          <w:rFonts w:ascii="Acumin Pro" w:hAnsi="Acumin Pro"/>
          <w:sz w:val="24"/>
          <w:szCs w:val="24"/>
        </w:rPr>
        <w:t>bilo je prinuđeno da obavlja nekvalifikovane poslove, kao što je čišćenje puteva, snega, grobalja, „kopanje raka“, održavanje kanala i slično, kako ne bi izgubili novčanu socijalnu pomoć koja im je Zakonom o socijalnoj zaštiti odobrena.</w:t>
      </w:r>
      <w:r w:rsidR="00A600F6">
        <w:rPr>
          <w:rStyle w:val="FootnoteReference"/>
          <w:rFonts w:ascii="Acumin Pro" w:hAnsi="Acumin Pro"/>
          <w:sz w:val="24"/>
          <w:szCs w:val="24"/>
        </w:rPr>
        <w:footnoteReference w:id="16"/>
      </w:r>
      <w:r w:rsidR="00855927" w:rsidRPr="00855927">
        <w:rPr>
          <w:rFonts w:ascii="Acumin Pro" w:hAnsi="Acumin Pro"/>
          <w:sz w:val="24"/>
          <w:szCs w:val="24"/>
        </w:rPr>
        <w:t xml:space="preserve"> Uredba je u suprotnosti sa: </w:t>
      </w:r>
    </w:p>
    <w:p w14:paraId="4289F8D4" w14:textId="41AD230E" w:rsidR="00855927" w:rsidRPr="00855927" w:rsidRDefault="00855927" w:rsidP="00855927">
      <w:pPr>
        <w:pStyle w:val="ListParagraph"/>
        <w:numPr>
          <w:ilvl w:val="0"/>
          <w:numId w:val="5"/>
        </w:numPr>
        <w:jc w:val="both"/>
        <w:rPr>
          <w:rFonts w:ascii="Acumin Pro" w:hAnsi="Acumin Pro"/>
          <w:sz w:val="24"/>
          <w:szCs w:val="24"/>
        </w:rPr>
      </w:pPr>
      <w:r w:rsidRPr="00855927">
        <w:rPr>
          <w:rFonts w:ascii="Acumin Pro" w:hAnsi="Acumin Pro"/>
          <w:sz w:val="24"/>
          <w:szCs w:val="24"/>
        </w:rPr>
        <w:t>Ustavom;</w:t>
      </w:r>
    </w:p>
    <w:p w14:paraId="3EC795AD" w14:textId="77777777" w:rsidR="00855927" w:rsidRPr="00855927" w:rsidRDefault="00855927" w:rsidP="00855927">
      <w:pPr>
        <w:pStyle w:val="ListParagraph"/>
        <w:numPr>
          <w:ilvl w:val="0"/>
          <w:numId w:val="5"/>
        </w:numPr>
        <w:jc w:val="both"/>
        <w:rPr>
          <w:rFonts w:ascii="Acumin Pro" w:hAnsi="Acumin Pro"/>
          <w:sz w:val="24"/>
          <w:szCs w:val="24"/>
        </w:rPr>
      </w:pPr>
      <w:r w:rsidRPr="00855927">
        <w:rPr>
          <w:rFonts w:ascii="Acumin Pro" w:hAnsi="Acumin Pro"/>
          <w:sz w:val="24"/>
          <w:szCs w:val="24"/>
        </w:rPr>
        <w:t xml:space="preserve">Zakonom o socijalnoj zaštiti; </w:t>
      </w:r>
    </w:p>
    <w:p w14:paraId="0C6065A7" w14:textId="77777777" w:rsidR="00855927" w:rsidRPr="00855927" w:rsidRDefault="00855927" w:rsidP="00855927">
      <w:pPr>
        <w:pStyle w:val="ListParagraph"/>
        <w:numPr>
          <w:ilvl w:val="0"/>
          <w:numId w:val="5"/>
        </w:numPr>
        <w:jc w:val="both"/>
        <w:rPr>
          <w:rFonts w:ascii="Acumin Pro" w:hAnsi="Acumin Pro"/>
          <w:sz w:val="24"/>
          <w:szCs w:val="24"/>
        </w:rPr>
      </w:pPr>
      <w:r w:rsidRPr="00855927">
        <w:rPr>
          <w:rFonts w:ascii="Acumin Pro" w:hAnsi="Acumin Pro"/>
          <w:sz w:val="24"/>
          <w:szCs w:val="24"/>
        </w:rPr>
        <w:t xml:space="preserve">Evropskom konvencijom o ljudskim pravima; </w:t>
      </w:r>
    </w:p>
    <w:p w14:paraId="3518ED9C" w14:textId="77777777" w:rsidR="00855927" w:rsidRPr="00855927" w:rsidRDefault="00855927" w:rsidP="00855927">
      <w:pPr>
        <w:pStyle w:val="ListParagraph"/>
        <w:numPr>
          <w:ilvl w:val="0"/>
          <w:numId w:val="5"/>
        </w:numPr>
        <w:jc w:val="both"/>
        <w:rPr>
          <w:rFonts w:ascii="Acumin Pro" w:hAnsi="Acumin Pro"/>
          <w:sz w:val="24"/>
          <w:szCs w:val="24"/>
        </w:rPr>
      </w:pPr>
      <w:r w:rsidRPr="00855927">
        <w:rPr>
          <w:rFonts w:ascii="Acumin Pro" w:hAnsi="Acumin Pro"/>
          <w:sz w:val="24"/>
          <w:szCs w:val="24"/>
        </w:rPr>
        <w:t xml:space="preserve">Međunarodnim paktom o ekonomskim, socijalnim i kulturnim pravima i </w:t>
      </w:r>
    </w:p>
    <w:p w14:paraId="470EB351" w14:textId="6FC180B1" w:rsidR="00855927" w:rsidRPr="00855927" w:rsidRDefault="00855927" w:rsidP="00855927">
      <w:pPr>
        <w:pStyle w:val="ListParagraph"/>
        <w:numPr>
          <w:ilvl w:val="0"/>
          <w:numId w:val="5"/>
        </w:numPr>
        <w:jc w:val="both"/>
        <w:rPr>
          <w:rFonts w:ascii="Acumin Pro" w:hAnsi="Acumin Pro"/>
          <w:sz w:val="24"/>
          <w:szCs w:val="24"/>
        </w:rPr>
      </w:pPr>
      <w:r w:rsidRPr="00855927">
        <w:rPr>
          <w:rFonts w:ascii="Acumin Pro" w:hAnsi="Acumin Pro"/>
          <w:sz w:val="24"/>
          <w:szCs w:val="24"/>
        </w:rPr>
        <w:t>Revidiranom evropskom socijalnom poveljom.</w:t>
      </w:r>
    </w:p>
    <w:p w14:paraId="5CF6382C" w14:textId="2106F7BE" w:rsidR="008202DA" w:rsidRDefault="00855927" w:rsidP="00D01093">
      <w:pPr>
        <w:jc w:val="both"/>
        <w:rPr>
          <w:rFonts w:ascii="Acumin Pro" w:hAnsi="Acumin Pro"/>
          <w:sz w:val="24"/>
          <w:szCs w:val="24"/>
        </w:rPr>
      </w:pPr>
      <w:r w:rsidRPr="00855927">
        <w:rPr>
          <w:rFonts w:ascii="Acumin Pro" w:hAnsi="Acumin Pro"/>
          <w:sz w:val="24"/>
          <w:szCs w:val="24"/>
        </w:rPr>
        <w:t>Poziv 57 organizacija civilnog društva upućen u novembru 2014. godine da se Uredba hitno stavi van snage,</w:t>
      </w:r>
      <w:r w:rsidR="00944CC7">
        <w:rPr>
          <w:rStyle w:val="FootnoteReference"/>
          <w:rFonts w:ascii="Acumin Pro" w:hAnsi="Acumin Pro"/>
          <w:sz w:val="24"/>
          <w:szCs w:val="24"/>
        </w:rPr>
        <w:footnoteReference w:id="17"/>
      </w:r>
      <w:r w:rsidRPr="00855927">
        <w:rPr>
          <w:rFonts w:ascii="Acumin Pro" w:hAnsi="Acumin Pro"/>
          <w:sz w:val="24"/>
          <w:szCs w:val="24"/>
        </w:rPr>
        <w:t xml:space="preserve"> još uvek je bez odgovora. </w:t>
      </w:r>
    </w:p>
    <w:p w14:paraId="31A48798" w14:textId="77777777" w:rsidR="00855927" w:rsidRDefault="00855927" w:rsidP="00D01093">
      <w:pPr>
        <w:jc w:val="both"/>
        <w:rPr>
          <w:rFonts w:ascii="Neue Machina Ultrabold" w:hAnsi="Neue Machina Ultrabold"/>
          <w:sz w:val="24"/>
          <w:szCs w:val="24"/>
        </w:rPr>
      </w:pPr>
    </w:p>
    <w:p w14:paraId="023ED9B0" w14:textId="1203AA2F" w:rsidR="00B11728" w:rsidRPr="00855927" w:rsidRDefault="00B11728" w:rsidP="00D01093">
      <w:pPr>
        <w:jc w:val="both"/>
        <w:rPr>
          <w:rFonts w:ascii="Neue Machina Ultrabold" w:hAnsi="Neue Machina Ultrabold"/>
          <w:sz w:val="24"/>
          <w:szCs w:val="24"/>
        </w:rPr>
      </w:pPr>
      <w:r w:rsidRPr="00855927">
        <w:rPr>
          <w:rFonts w:ascii="Neue Machina Ultrabold" w:hAnsi="Neue Machina Ultrabold"/>
          <w:sz w:val="24"/>
          <w:szCs w:val="24"/>
        </w:rPr>
        <w:t xml:space="preserve">Problemi sa Zakonom o stanovanju i održavanju zgrada </w:t>
      </w:r>
    </w:p>
    <w:p w14:paraId="46E8B356" w14:textId="6834BC96" w:rsidR="00855927" w:rsidRDefault="00855927" w:rsidP="00D01093">
      <w:pPr>
        <w:jc w:val="both"/>
        <w:rPr>
          <w:rFonts w:ascii="Acumin Pro" w:hAnsi="Acumin Pro"/>
          <w:sz w:val="24"/>
          <w:szCs w:val="24"/>
        </w:rPr>
      </w:pPr>
    </w:p>
    <w:p w14:paraId="79F68CE4" w14:textId="47CB4795" w:rsidR="00E36EC1" w:rsidRDefault="00855927" w:rsidP="00E36EC1">
      <w:pPr>
        <w:ind w:firstLine="708"/>
        <w:jc w:val="both"/>
        <w:rPr>
          <w:rFonts w:ascii="Acumin Pro" w:hAnsi="Acumin Pro"/>
          <w:sz w:val="24"/>
          <w:szCs w:val="24"/>
        </w:rPr>
      </w:pPr>
      <w:r>
        <w:rPr>
          <w:rFonts w:ascii="Acumin Pro" w:hAnsi="Acumin Pro"/>
          <w:sz w:val="24"/>
          <w:szCs w:val="24"/>
        </w:rPr>
        <w:t xml:space="preserve">Problemi sa Zakonom o stanovanju i održavanju zgrada mogli bi se najpre odrediti nedostatkom </w:t>
      </w:r>
      <w:r w:rsidR="00E36EC1">
        <w:rPr>
          <w:rFonts w:ascii="Acumin Pro" w:hAnsi="Acumin Pro"/>
          <w:sz w:val="24"/>
          <w:szCs w:val="24"/>
        </w:rPr>
        <w:t>i slabom primenom o</w:t>
      </w:r>
      <w:r>
        <w:rPr>
          <w:rFonts w:ascii="Acumin Pro" w:hAnsi="Acumin Pro"/>
          <w:sz w:val="24"/>
          <w:szCs w:val="24"/>
        </w:rPr>
        <w:t>vog propisa</w:t>
      </w:r>
      <w:r w:rsidR="00E36EC1">
        <w:rPr>
          <w:rFonts w:ascii="Acumin Pro" w:hAnsi="Acumin Pro"/>
          <w:sz w:val="24"/>
          <w:szCs w:val="24"/>
        </w:rPr>
        <w:t xml:space="preserve">, posebno u delu koji se odnosi na postupke preseljenja i iseljenja, koji najviše pogađaju Rome i Romkinje koji stanuju u neformalnim naseljima, </w:t>
      </w:r>
      <w:r w:rsidR="00CA2A57">
        <w:rPr>
          <w:rFonts w:ascii="Acumin Pro" w:hAnsi="Acumin Pro"/>
          <w:sz w:val="24"/>
          <w:szCs w:val="24"/>
        </w:rPr>
        <w:t xml:space="preserve">kao </w:t>
      </w:r>
      <w:r w:rsidR="00E36EC1">
        <w:rPr>
          <w:rFonts w:ascii="Acumin Pro" w:hAnsi="Acumin Pro"/>
          <w:sz w:val="24"/>
          <w:szCs w:val="24"/>
        </w:rPr>
        <w:t>i u delu koji se odnosi na socijalno stanovanje, odnosno stambenu podršku. Sve ovo do</w:t>
      </w:r>
      <w:r>
        <w:rPr>
          <w:rFonts w:ascii="Acumin Pro" w:hAnsi="Acumin Pro"/>
          <w:sz w:val="24"/>
          <w:szCs w:val="24"/>
        </w:rPr>
        <w:t xml:space="preserve">vodi do kršenja prava na adekvatno stanovanje, a pojedince i grupe koji su najugroženiji stavlja u nepovoljan položaj. </w:t>
      </w:r>
    </w:p>
    <w:p w14:paraId="3F59E41B" w14:textId="664EDB8F" w:rsidR="00E36EC1" w:rsidRDefault="00855927" w:rsidP="00383ED2">
      <w:pPr>
        <w:jc w:val="both"/>
        <w:rPr>
          <w:rFonts w:ascii="Neue Machina Ultrabold" w:hAnsi="Neue Machina Ultrabold"/>
          <w:b/>
          <w:bCs/>
          <w:sz w:val="24"/>
          <w:szCs w:val="24"/>
        </w:rPr>
      </w:pPr>
      <w:r>
        <w:rPr>
          <w:rFonts w:ascii="Acumin Pro" w:hAnsi="Acumin Pro"/>
          <w:sz w:val="24"/>
          <w:szCs w:val="24"/>
        </w:rPr>
        <w:t>Na ovom mestu ističemo činjenicu da je u čl. 136 stav 2 propisano da se Nacionalna stambena strategija koja se donosi radi ostvarivanja javnog interesa u oblasti stanova</w:t>
      </w:r>
      <w:r w:rsidR="00E36EC1">
        <w:rPr>
          <w:rFonts w:ascii="Acumin Pro" w:hAnsi="Acumin Pro"/>
          <w:sz w:val="24"/>
          <w:szCs w:val="24"/>
        </w:rPr>
        <w:t>nj</w:t>
      </w:r>
      <w:r>
        <w:rPr>
          <w:rFonts w:ascii="Acumin Pro" w:hAnsi="Acumin Pro"/>
          <w:sz w:val="24"/>
          <w:szCs w:val="24"/>
        </w:rPr>
        <w:t>a, odnosno radi utvrđivanja i sprovođenja stambene politike i ciljeva održivog razvoja stanovanja u Republici Srbiji donosi dvanaest meseci od stupanja na snagu Zakona o stanovanju i održavanju zgrada. Zakon je stupio na snagu 31. decembra 2016. godine</w:t>
      </w:r>
      <w:r w:rsidR="00E36EC1">
        <w:rPr>
          <w:rFonts w:ascii="Acumin Pro" w:hAnsi="Acumin Pro"/>
          <w:sz w:val="24"/>
          <w:szCs w:val="24"/>
        </w:rPr>
        <w:t>, a Nacionalna stambena strategija ni do današnjeg dana nije usvojena.</w:t>
      </w:r>
      <w:r>
        <w:rPr>
          <w:rFonts w:ascii="Acumin Pro" w:hAnsi="Acumin Pro"/>
          <w:sz w:val="24"/>
          <w:szCs w:val="24"/>
        </w:rPr>
        <w:t xml:space="preserve"> Usled toga, nisu donete ni lokalne stambene strategije, a ni programi stambene podrške koji su zasnovani na ovoj St</w:t>
      </w:r>
      <w:r w:rsidR="00CA2A57">
        <w:rPr>
          <w:rFonts w:ascii="Acumin Pro" w:hAnsi="Acumin Pro"/>
          <w:sz w:val="24"/>
          <w:szCs w:val="24"/>
        </w:rPr>
        <w:t>r</w:t>
      </w:r>
      <w:r>
        <w:rPr>
          <w:rFonts w:ascii="Acumin Pro" w:hAnsi="Acumin Pro"/>
          <w:sz w:val="24"/>
          <w:szCs w:val="24"/>
        </w:rPr>
        <w:t xml:space="preserve">ategiji, pa problemi sa kojima se suočavaju najugroženiji građani i građanke u pristupu adekvatnom i priuštivom stanovanju ostaju neadresirani. </w:t>
      </w:r>
    </w:p>
    <w:p w14:paraId="7A49DF1A" w14:textId="77777777" w:rsidR="00F813EA" w:rsidRPr="00383ED2" w:rsidRDefault="00F813EA" w:rsidP="00383ED2">
      <w:pPr>
        <w:jc w:val="both"/>
        <w:rPr>
          <w:rFonts w:ascii="Acumin Pro" w:hAnsi="Acumin Pro"/>
          <w:sz w:val="24"/>
          <w:szCs w:val="24"/>
        </w:rPr>
      </w:pPr>
    </w:p>
    <w:p w14:paraId="30ACC3EE" w14:textId="776A2D54" w:rsidR="00B11728" w:rsidRPr="00EB44BC" w:rsidRDefault="00B11728" w:rsidP="00D01093">
      <w:pPr>
        <w:jc w:val="both"/>
        <w:rPr>
          <w:rFonts w:ascii="Neue Machina Ultrabold" w:hAnsi="Neue Machina Ultrabold"/>
          <w:b/>
          <w:bCs/>
          <w:sz w:val="24"/>
          <w:szCs w:val="24"/>
        </w:rPr>
      </w:pPr>
      <w:r w:rsidRPr="00EB44BC">
        <w:rPr>
          <w:rFonts w:ascii="Neue Machina Ultrabold" w:hAnsi="Neue Machina Ultrabold"/>
          <w:b/>
          <w:bCs/>
          <w:sz w:val="24"/>
          <w:szCs w:val="24"/>
        </w:rPr>
        <w:t xml:space="preserve">Problemi sa Zakonom o </w:t>
      </w:r>
      <w:r w:rsidR="00763077" w:rsidRPr="00EB44BC">
        <w:rPr>
          <w:rFonts w:ascii="Neue Machina Ultrabold" w:hAnsi="Neue Machina Ultrabold"/>
          <w:b/>
          <w:bCs/>
          <w:sz w:val="24"/>
          <w:szCs w:val="24"/>
        </w:rPr>
        <w:t>zdravstvenom osiguranju</w:t>
      </w:r>
    </w:p>
    <w:p w14:paraId="2CD111B1" w14:textId="6BA07935" w:rsidR="00763077" w:rsidRPr="00763077" w:rsidRDefault="00763077" w:rsidP="00D01093">
      <w:pPr>
        <w:jc w:val="both"/>
        <w:rPr>
          <w:rFonts w:ascii="Acumin Pro" w:hAnsi="Acumin Pro"/>
          <w:sz w:val="24"/>
          <w:szCs w:val="24"/>
        </w:rPr>
      </w:pPr>
    </w:p>
    <w:p w14:paraId="71967D42" w14:textId="720CAD0C" w:rsidR="00763077" w:rsidRPr="00763077" w:rsidRDefault="00763077" w:rsidP="00383ED2">
      <w:pPr>
        <w:jc w:val="both"/>
        <w:rPr>
          <w:rFonts w:ascii="Acumin Pro" w:hAnsi="Acumin Pro"/>
          <w:sz w:val="24"/>
          <w:szCs w:val="24"/>
        </w:rPr>
      </w:pPr>
      <w:r w:rsidRPr="00763077">
        <w:rPr>
          <w:rFonts w:ascii="Acumin Pro" w:hAnsi="Acumin Pro"/>
          <w:sz w:val="24"/>
          <w:szCs w:val="24"/>
        </w:rPr>
        <w:t>Novi Zakon o zdravstvenom osiguranju</w:t>
      </w:r>
      <w:r w:rsidRPr="00763077">
        <w:rPr>
          <w:rStyle w:val="FootnoteReference"/>
          <w:rFonts w:ascii="Acumin Pro" w:hAnsi="Acumin Pro"/>
          <w:sz w:val="24"/>
          <w:szCs w:val="24"/>
        </w:rPr>
        <w:footnoteReference w:id="18"/>
      </w:r>
      <w:r w:rsidRPr="00763077">
        <w:rPr>
          <w:rFonts w:ascii="Acumin Pro" w:hAnsi="Acumin Pro"/>
          <w:sz w:val="24"/>
          <w:szCs w:val="24"/>
        </w:rPr>
        <w:t xml:space="preserve"> u čl. 131, stav 1, tačka 4, alineja 5 propisuje da se osiguranim licima zdravstvene usluge obezbeđuju iz sredstava obaveznog zdravstvenog osiguranja u iznosu od najmanje 65% od cene zdravstvene usluge za: </w:t>
      </w:r>
    </w:p>
    <w:p w14:paraId="62E783E4" w14:textId="77777777" w:rsidR="00763077" w:rsidRPr="00763077" w:rsidRDefault="00763077" w:rsidP="00D01093">
      <w:pPr>
        <w:jc w:val="both"/>
        <w:rPr>
          <w:rFonts w:ascii="Acumin Pro" w:hAnsi="Acumin Pro"/>
          <w:sz w:val="24"/>
          <w:szCs w:val="24"/>
        </w:rPr>
      </w:pPr>
      <w:r w:rsidRPr="00763077">
        <w:rPr>
          <w:rFonts w:ascii="Acumin Pro" w:hAnsi="Acumin Pro"/>
          <w:sz w:val="24"/>
          <w:szCs w:val="24"/>
        </w:rPr>
        <w:t xml:space="preserve">„lečenje bolesti čije je rano otkrivanje predmet ciljanog preventivnog pregleda, odnosno skrininga, prema odgovarajućim nacionalnim programima, ukoliko se osigurano lice nije odazvalo ni na jedan poziv u okviru jednog ciklusa pozivanja, niti je svoj izostanak opravdalo, a ta bolest je dijagnostikovana u periodu do narednog ciklusa pozivanja“. </w:t>
      </w:r>
    </w:p>
    <w:p w14:paraId="0656D228" w14:textId="2A023B4A" w:rsidR="00763077" w:rsidRPr="00763077" w:rsidRDefault="00763077" w:rsidP="00D01093">
      <w:pPr>
        <w:jc w:val="both"/>
        <w:rPr>
          <w:rFonts w:ascii="Acumin Pro" w:hAnsi="Acumin Pro"/>
          <w:sz w:val="24"/>
          <w:szCs w:val="24"/>
        </w:rPr>
      </w:pPr>
      <w:r w:rsidRPr="00763077">
        <w:rPr>
          <w:rFonts w:ascii="Acumin Pro" w:hAnsi="Acumin Pro"/>
          <w:sz w:val="24"/>
          <w:szCs w:val="24"/>
        </w:rPr>
        <w:t xml:space="preserve">Ovom odredbom praktično su </w:t>
      </w:r>
      <w:r w:rsidRPr="00763077">
        <w:rPr>
          <w:rFonts w:ascii="Acumin Pro" w:hAnsi="Acumin Pro"/>
          <w:i/>
          <w:iCs/>
          <w:sz w:val="24"/>
          <w:szCs w:val="24"/>
        </w:rPr>
        <w:t>uvedene sankcije za one pojedince koji propuste da se pregledaju u okviru plana skrininga</w:t>
      </w:r>
      <w:r w:rsidRPr="00763077">
        <w:rPr>
          <w:rFonts w:ascii="Acumin Pro" w:hAnsi="Acumin Pro"/>
          <w:sz w:val="24"/>
          <w:szCs w:val="24"/>
        </w:rPr>
        <w:t>. Iako je nesporno da su preventivni pregledi i rano otkrivanje, posebno za određene oblike karcinoma, izuzetno značajni za uspešno lečenje, postavlja se pitanje opravdanosti propisivanja ovakvih mera. Pored toga, pitanje je i da li su citirane odredbe Zakona o zdravstvenom osiguranju u skladu sa obavezama koje država ima prema članu 12. Međunarodnog pakta o ekonomskim, socijalnim i kulturnim pravima.</w:t>
      </w:r>
      <w:r w:rsidRPr="00763077">
        <w:rPr>
          <w:rStyle w:val="FootnoteReference"/>
          <w:rFonts w:ascii="Acumin Pro" w:hAnsi="Acumin Pro"/>
          <w:sz w:val="24"/>
          <w:szCs w:val="24"/>
        </w:rPr>
        <w:footnoteReference w:id="19"/>
      </w:r>
    </w:p>
    <w:p w14:paraId="12A39A3B" w14:textId="3963BC60" w:rsidR="00763077" w:rsidRPr="00763077" w:rsidRDefault="00763077" w:rsidP="00D01093">
      <w:pPr>
        <w:jc w:val="both"/>
        <w:rPr>
          <w:rFonts w:ascii="Acumin Pro" w:hAnsi="Acumin Pro"/>
          <w:sz w:val="24"/>
          <w:szCs w:val="24"/>
        </w:rPr>
      </w:pPr>
      <w:r w:rsidRPr="00763077">
        <w:rPr>
          <w:rFonts w:ascii="Acumin Pro" w:hAnsi="Acumin Pro"/>
          <w:sz w:val="24"/>
          <w:szCs w:val="24"/>
        </w:rPr>
        <w:lastRenderedPageBreak/>
        <w:t>U situacijama u kojima pojedinci nisu u mogućnosti da plate preostalih 35% cene lečenja karcinoma debelog creva, grlića materice ili dojke</w:t>
      </w:r>
      <w:r w:rsidRPr="00763077">
        <w:rPr>
          <w:rStyle w:val="FootnoteReference"/>
          <w:rFonts w:ascii="Acumin Pro" w:hAnsi="Acumin Pro"/>
          <w:sz w:val="24"/>
          <w:szCs w:val="24"/>
        </w:rPr>
        <w:footnoteReference w:id="20"/>
      </w:r>
      <w:r w:rsidRPr="00763077">
        <w:rPr>
          <w:rFonts w:ascii="Acumin Pro" w:hAnsi="Acumin Pro"/>
          <w:sz w:val="24"/>
          <w:szCs w:val="24"/>
        </w:rPr>
        <w:t>, posledica može biti potpuno propuštanje lečenja tih bolesti koje dovode do fatalnog ishoda.</w:t>
      </w:r>
      <w:r w:rsidR="00F43862" w:rsidRPr="00F43862">
        <w:t xml:space="preserve"> </w:t>
      </w:r>
      <w:r w:rsidR="00F43862" w:rsidRPr="00F43862">
        <w:rPr>
          <w:rFonts w:ascii="Acumin Pro" w:hAnsi="Acumin Pro"/>
          <w:sz w:val="24"/>
          <w:szCs w:val="24"/>
        </w:rPr>
        <w:t>Uvodeći ovakvu nepravičnu i neproporcionalnu sankciju neodazivanja na skrining preglede, Zakon o zdravstvenom osiguranju najteže pogađa one koji su najsiromašniji i ne mogu da učestvuju u plaćanju cene lečenja, što je u suštinskoj suprotnosti sa načelom socijalne pravde</w:t>
      </w:r>
      <w:r w:rsidR="0085256A">
        <w:rPr>
          <w:rFonts w:ascii="Acumin Pro" w:hAnsi="Acumin Pro"/>
          <w:sz w:val="24"/>
          <w:szCs w:val="24"/>
        </w:rPr>
        <w:t xml:space="preserve"> i pravom svakog na najbolje fizičko i mentalno zdravlje koje može postići</w:t>
      </w:r>
      <w:r w:rsidR="00F813EA">
        <w:rPr>
          <w:rFonts w:ascii="Acumin Pro" w:hAnsi="Acumin Pro"/>
          <w:sz w:val="24"/>
          <w:szCs w:val="24"/>
        </w:rPr>
        <w:t>, koje je garantovano čl. 12. Međunarodnog pakta o ekonomskim, socijalnim i kulturnim pravima</w:t>
      </w:r>
      <w:r w:rsidR="00F43862" w:rsidRPr="00F43862">
        <w:rPr>
          <w:rFonts w:ascii="Acumin Pro" w:hAnsi="Acumin Pro"/>
          <w:sz w:val="24"/>
          <w:szCs w:val="24"/>
        </w:rPr>
        <w:t>.</w:t>
      </w:r>
      <w:r w:rsidRPr="00763077">
        <w:rPr>
          <w:rFonts w:ascii="Acumin Pro" w:hAnsi="Acumin Pro"/>
          <w:sz w:val="24"/>
          <w:szCs w:val="24"/>
        </w:rPr>
        <w:t xml:space="preserve"> Imajući u vidu to da se obavezni skrining pregledi odnose na žene u mnogo većoj meri nego na muškarce (grupe koje su u obaveznom planu skrininga su žene od 50 do 69 godina za rak dojke, žene od 25 </w:t>
      </w:r>
      <w:r w:rsidRPr="00763077">
        <w:rPr>
          <w:rFonts w:ascii="Acumin Pro" w:hAnsi="Acumin Pro"/>
          <w:sz w:val="24"/>
          <w:szCs w:val="24"/>
        </w:rPr>
        <w:t xml:space="preserve">do 64 godine za rak grlića materice i žene i muškarci od 50 do 74 godine za rak debelog creva), </w:t>
      </w:r>
      <w:r w:rsidR="00C27826">
        <w:rPr>
          <w:rFonts w:ascii="Acumin Pro" w:hAnsi="Acumin Pro"/>
          <w:sz w:val="24"/>
          <w:szCs w:val="24"/>
        </w:rPr>
        <w:t>to ukazuje i na opasnost od</w:t>
      </w:r>
      <w:r w:rsidRPr="00763077">
        <w:rPr>
          <w:rFonts w:ascii="Acumin Pro" w:hAnsi="Acumin Pro"/>
          <w:sz w:val="24"/>
          <w:szCs w:val="24"/>
        </w:rPr>
        <w:t xml:space="preserve"> neproporcionalno negativnog uticaja na položaj žena koje propuste obavezan skrining pregled, a nemaju novca da plate 35% cene lečenja.</w:t>
      </w:r>
    </w:p>
    <w:p w14:paraId="20428B6F" w14:textId="423E8CFC" w:rsidR="005A50C0" w:rsidRPr="00763077" w:rsidRDefault="00763077" w:rsidP="00D01093">
      <w:pPr>
        <w:jc w:val="both"/>
        <w:rPr>
          <w:rFonts w:ascii="Acumin Pro" w:hAnsi="Acumin Pro"/>
          <w:sz w:val="24"/>
          <w:szCs w:val="24"/>
        </w:rPr>
      </w:pPr>
      <w:r w:rsidRPr="00763077">
        <w:rPr>
          <w:rFonts w:ascii="Acumin Pro" w:hAnsi="Acumin Pro"/>
          <w:sz w:val="24"/>
          <w:szCs w:val="24"/>
        </w:rPr>
        <w:t>Prema nekim studijama, prosečan trošak novootkrivenog karcinoma po pacijentu u prvih šest meseci</w:t>
      </w:r>
      <w:r w:rsidR="00C27826">
        <w:rPr>
          <w:rFonts w:ascii="Acumin Pro" w:hAnsi="Acumin Pro"/>
          <w:sz w:val="24"/>
          <w:szCs w:val="24"/>
        </w:rPr>
        <w:t xml:space="preserve"> iznos</w:t>
      </w:r>
      <w:r w:rsidR="00383ED2">
        <w:rPr>
          <w:rFonts w:ascii="Acumin Pro" w:hAnsi="Acumin Pro"/>
          <w:sz w:val="24"/>
          <w:szCs w:val="24"/>
        </w:rPr>
        <w:t>i</w:t>
      </w:r>
      <w:r w:rsidRPr="00763077">
        <w:rPr>
          <w:rFonts w:ascii="Acumin Pro" w:hAnsi="Acumin Pro"/>
          <w:sz w:val="24"/>
          <w:szCs w:val="24"/>
        </w:rPr>
        <w:t xml:space="preserve"> 7.676 američkih dolara.</w:t>
      </w:r>
      <w:r w:rsidRPr="00763077">
        <w:rPr>
          <w:rStyle w:val="FootnoteReference"/>
          <w:rFonts w:ascii="Acumin Pro" w:hAnsi="Acumin Pro"/>
          <w:sz w:val="24"/>
          <w:szCs w:val="24"/>
        </w:rPr>
        <w:footnoteReference w:id="21"/>
      </w:r>
      <w:r w:rsidRPr="00763077">
        <w:rPr>
          <w:rFonts w:ascii="Acumin Pro" w:hAnsi="Acumin Pro"/>
          <w:sz w:val="24"/>
          <w:szCs w:val="24"/>
        </w:rPr>
        <w:t xml:space="preserve"> To znači da za prosečnog pacijenta </w:t>
      </w:r>
      <w:r w:rsidRPr="00763077">
        <w:rPr>
          <w:rFonts w:ascii="Acumin Pro" w:hAnsi="Acumin Pro"/>
          <w:sz w:val="24"/>
          <w:szCs w:val="24"/>
        </w:rPr>
        <w:t xml:space="preserve">troškovi lečenja u ovom slučaju mogu ići od nešto preko pet prosečnih plata (u slučaju da zarađuje prosečnu platu), pa sve do jednogodišnjeg prihoda (u slučaju da radi za platu koja je najčešća – medijanu). Zbog toga je ta odredba Zakona o zdravstvenom osiguranju u direktnoj suprotnosti sa odredbama iz paragrafa 12 (b) i 18 Opšteg komentara 14 Komiteta Ujedinjenih nacija za ekonomska, socijalna i kulturna prava, koji propisuje obavezu države da obezbedi ekonomsku pristupačnost zdravstvenih usluga, ustanova i proizvoda, kao i da zabrani diskriminaciju i obezbedi jednak tretman svih, a posebno onih koji dolaze iz najmarginalizovanijih grupa populacije. </w:t>
      </w:r>
    </w:p>
    <w:sectPr w:rsidR="005A50C0" w:rsidRPr="007630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BD26A" w14:textId="77777777" w:rsidR="006E4A75" w:rsidRDefault="006E4A75" w:rsidP="00B11728">
      <w:pPr>
        <w:spacing w:after="0" w:line="240" w:lineRule="auto"/>
      </w:pPr>
      <w:r>
        <w:separator/>
      </w:r>
    </w:p>
  </w:endnote>
  <w:endnote w:type="continuationSeparator" w:id="0">
    <w:p w14:paraId="7D974C93" w14:textId="77777777" w:rsidR="006E4A75" w:rsidRDefault="006E4A75" w:rsidP="00B1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cumin Pro">
    <w:altName w:val="Calibri"/>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ue Machina Ultrabold">
    <w:altName w:val="Calibri"/>
    <w:panose1 w:val="00000900000000000000"/>
    <w:charset w:val="00"/>
    <w:family w:val="modern"/>
    <w:notTrueType/>
    <w:pitch w:val="variable"/>
    <w:sig w:usb0="00000207" w:usb1="00000000" w:usb2="00000000" w:usb3="00000000" w:csb0="00000097" w:csb1="00000000"/>
  </w:font>
  <w:font w:name="Acumin Pro Light">
    <w:panose1 w:val="020B0404020202020204"/>
    <w:charset w:val="00"/>
    <w:family w:val="swiss"/>
    <w:notTrueType/>
    <w:pitch w:val="variable"/>
    <w:sig w:usb0="20000007"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977335"/>
      <w:docPartObj>
        <w:docPartGallery w:val="Page Numbers (Bottom of Page)"/>
        <w:docPartUnique/>
      </w:docPartObj>
    </w:sdtPr>
    <w:sdtEndPr>
      <w:rPr>
        <w:noProof/>
      </w:rPr>
    </w:sdtEndPr>
    <w:sdtContent>
      <w:p w14:paraId="3369CB43" w14:textId="34268E56" w:rsidR="00E36EC1" w:rsidRDefault="00E36EC1">
        <w:pPr>
          <w:pStyle w:val="Footer"/>
          <w:jc w:val="center"/>
        </w:pPr>
        <w:r>
          <w:fldChar w:fldCharType="begin"/>
        </w:r>
        <w:r>
          <w:instrText xml:space="preserve"> PAGE   \* MERGEFORMAT </w:instrText>
        </w:r>
        <w:r>
          <w:fldChar w:fldCharType="separate"/>
        </w:r>
        <w:r w:rsidR="00DA0D77">
          <w:rPr>
            <w:noProof/>
          </w:rPr>
          <w:t>6</w:t>
        </w:r>
        <w:r>
          <w:rPr>
            <w:noProof/>
          </w:rPr>
          <w:fldChar w:fldCharType="end"/>
        </w:r>
      </w:p>
    </w:sdtContent>
  </w:sdt>
  <w:p w14:paraId="2641BE94" w14:textId="77777777" w:rsidR="00E36EC1" w:rsidRDefault="00E36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99249" w14:textId="77777777" w:rsidR="006E4A75" w:rsidRDefault="006E4A75" w:rsidP="00B11728">
      <w:pPr>
        <w:spacing w:after="0" w:line="240" w:lineRule="auto"/>
      </w:pPr>
      <w:r>
        <w:separator/>
      </w:r>
    </w:p>
  </w:footnote>
  <w:footnote w:type="continuationSeparator" w:id="0">
    <w:p w14:paraId="3996FE73" w14:textId="77777777" w:rsidR="006E4A75" w:rsidRDefault="006E4A75" w:rsidP="00B11728">
      <w:pPr>
        <w:spacing w:after="0" w:line="240" w:lineRule="auto"/>
      </w:pPr>
      <w:r>
        <w:continuationSeparator/>
      </w:r>
    </w:p>
  </w:footnote>
  <w:footnote w:id="1">
    <w:p w14:paraId="11769483" w14:textId="106B23B5" w:rsidR="00763077" w:rsidRPr="00EC42D8" w:rsidRDefault="00763077" w:rsidP="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00E36EC1" w:rsidRPr="00EC42D8">
        <w:rPr>
          <w:rFonts w:ascii="Acumin Pro Light" w:hAnsi="Acumin Pro Light"/>
          <w:sz w:val="18"/>
          <w:szCs w:val="18"/>
        </w:rPr>
        <w:t xml:space="preserve"> „Sl. glasnik RS“, br. 113/2017 i 50/2018.</w:t>
      </w:r>
    </w:p>
  </w:footnote>
  <w:footnote w:id="2">
    <w:p w14:paraId="22BE7AFB" w14:textId="225031E9" w:rsidR="005100F0" w:rsidRPr="00EC42D8" w:rsidRDefault="005100F0">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Republički </w:t>
      </w:r>
      <w:r w:rsidRPr="00EC42D8">
        <w:rPr>
          <w:rFonts w:ascii="Acumin Pro Light" w:hAnsi="Acumin Pro Light"/>
          <w:sz w:val="18"/>
          <w:szCs w:val="18"/>
        </w:rPr>
        <w:t xml:space="preserve">zavod za statistiku i UNICEF, </w:t>
      </w:r>
      <w:r w:rsidRPr="00EC42D8">
        <w:rPr>
          <w:rFonts w:ascii="Acumin Pro Light" w:hAnsi="Acumin Pro Light"/>
          <w:i/>
          <w:sz w:val="18"/>
          <w:szCs w:val="18"/>
        </w:rPr>
        <w:t>Istraživanje višestrukih pokazatelja položaja žena i dece u Srbiji i Istraživanje višestrukih pokazatelja položaja žena i dece u romskim naseljima u Srbiji</w:t>
      </w:r>
      <w:r w:rsidRPr="00EC42D8">
        <w:rPr>
          <w:rFonts w:ascii="Acumin Pro Light" w:hAnsi="Acumin Pro Light"/>
          <w:sz w:val="18"/>
          <w:szCs w:val="18"/>
        </w:rPr>
        <w:t xml:space="preserve">, </w:t>
      </w:r>
      <w:r w:rsidRPr="00EC42D8">
        <w:rPr>
          <w:rFonts w:ascii="Acumin Pro Light" w:hAnsi="Acumin Pro Light"/>
          <w:i/>
          <w:sz w:val="18"/>
          <w:szCs w:val="18"/>
        </w:rPr>
        <w:t>Izveštaj o nalazima istraživanja</w:t>
      </w:r>
      <w:r w:rsidR="00853D69" w:rsidRPr="00EC42D8">
        <w:rPr>
          <w:rFonts w:ascii="Acumin Pro Light" w:hAnsi="Acumin Pro Light"/>
          <w:sz w:val="18"/>
          <w:szCs w:val="18"/>
        </w:rPr>
        <w:t>, Beograd, 2019</w:t>
      </w:r>
      <w:r w:rsidRPr="00EC42D8">
        <w:rPr>
          <w:rFonts w:ascii="Acumin Pro Light" w:hAnsi="Acumin Pro Light"/>
          <w:sz w:val="18"/>
          <w:szCs w:val="18"/>
        </w:rPr>
        <w:t>, xxvii</w:t>
      </w:r>
      <w:r w:rsidR="00853D69" w:rsidRPr="00EC42D8">
        <w:rPr>
          <w:rFonts w:ascii="Acumin Pro Light" w:hAnsi="Acumin Pro Light"/>
          <w:sz w:val="18"/>
          <w:szCs w:val="18"/>
        </w:rPr>
        <w:t>.</w:t>
      </w:r>
    </w:p>
  </w:footnote>
  <w:footnote w:id="3">
    <w:p w14:paraId="247D52A6" w14:textId="0B971049" w:rsidR="00E516D7" w:rsidRPr="00EC42D8" w:rsidRDefault="00E516D7">
      <w:pPr>
        <w:pStyle w:val="FootnoteText"/>
        <w:rPr>
          <w:rFonts w:ascii="Acumin Pro Light" w:hAnsi="Acumin Pro Light"/>
          <w:sz w:val="18"/>
          <w:szCs w:val="18"/>
          <w:lang w:val="en-GB"/>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i/>
          <w:sz w:val="18"/>
          <w:szCs w:val="18"/>
        </w:rPr>
        <w:t>Isto</w:t>
      </w:r>
      <w:r w:rsidRPr="00EC42D8">
        <w:rPr>
          <w:rFonts w:ascii="Acumin Pro Light" w:hAnsi="Acumin Pro Light"/>
          <w:sz w:val="18"/>
          <w:szCs w:val="18"/>
        </w:rPr>
        <w:t xml:space="preserve">. </w:t>
      </w:r>
      <w:r w:rsidR="003849AB" w:rsidRPr="00EC42D8">
        <w:rPr>
          <w:rFonts w:ascii="Acumin Pro Light" w:hAnsi="Acumin Pro Light"/>
          <w:sz w:val="18"/>
          <w:szCs w:val="18"/>
        </w:rPr>
        <w:t xml:space="preserve">Neto stropa pohađanja predškolskog obrazovanja u opštoj populaciji iznosi </w:t>
      </w:r>
      <w:r w:rsidR="00BF1A9E" w:rsidRPr="00EC42D8">
        <w:rPr>
          <w:rFonts w:ascii="Acumin Pro Light" w:hAnsi="Acumin Pro Light"/>
          <w:sz w:val="18"/>
          <w:szCs w:val="18"/>
        </w:rPr>
        <w:t xml:space="preserve">97 procenata, dok je ta stopa kod dece u romskim naseljima znatno manja i iznosi 76 procenata. </w:t>
      </w:r>
    </w:p>
  </w:footnote>
  <w:footnote w:id="4">
    <w:p w14:paraId="604E9B09" w14:textId="00B767C4" w:rsidR="009C099E" w:rsidRPr="00EC42D8" w:rsidRDefault="009C099E">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UNDP, </w:t>
      </w:r>
      <w:r w:rsidRPr="00EC42D8">
        <w:rPr>
          <w:rFonts w:ascii="Acumin Pro Light" w:hAnsi="Acumin Pro Light"/>
          <w:sz w:val="18"/>
          <w:szCs w:val="18"/>
        </w:rPr>
        <w:t>Roma at Glance</w:t>
      </w:r>
      <w:r w:rsidR="006148FA" w:rsidRPr="00EC42D8">
        <w:rPr>
          <w:rFonts w:ascii="Acumin Pro Light" w:hAnsi="Acumin Pro Light"/>
          <w:sz w:val="18"/>
          <w:szCs w:val="18"/>
        </w:rPr>
        <w:t xml:space="preserve"> - Serbia</w:t>
      </w:r>
      <w:r w:rsidRPr="00EC42D8">
        <w:rPr>
          <w:rFonts w:ascii="Acumin Pro Light" w:hAnsi="Acumin Pro Light"/>
          <w:sz w:val="18"/>
          <w:szCs w:val="18"/>
        </w:rPr>
        <w:t xml:space="preserve">, </w:t>
      </w:r>
      <w:r w:rsidR="006148FA" w:rsidRPr="00EC42D8">
        <w:rPr>
          <w:rFonts w:ascii="Acumin Pro Light" w:hAnsi="Acumin Pro Light"/>
          <w:sz w:val="18"/>
          <w:szCs w:val="18"/>
        </w:rPr>
        <w:t xml:space="preserve">April 2018, dostupno na: </w:t>
      </w:r>
      <w:hyperlink r:id="rId1" w:history="1">
        <w:r w:rsidR="006148FA" w:rsidRPr="00EC42D8">
          <w:rPr>
            <w:rStyle w:val="Hyperlink"/>
            <w:rFonts w:ascii="Acumin Pro Light" w:hAnsi="Acumin Pro Light"/>
            <w:sz w:val="18"/>
            <w:szCs w:val="18"/>
          </w:rPr>
          <w:t>https://www.eurasia.undp.org/content/dam/rbec/docs/Factsheet_SERBIA_Roma.pdf</w:t>
        </w:r>
      </w:hyperlink>
      <w:r w:rsidR="006148FA" w:rsidRPr="00EC42D8">
        <w:rPr>
          <w:rFonts w:ascii="Acumin Pro Light" w:hAnsi="Acumin Pro Light"/>
          <w:sz w:val="18"/>
          <w:szCs w:val="18"/>
        </w:rPr>
        <w:t>,  p. 2.</w:t>
      </w:r>
    </w:p>
  </w:footnote>
  <w:footnote w:id="5">
    <w:p w14:paraId="7F5377CB" w14:textId="4C10B001" w:rsidR="00D33FE6" w:rsidRPr="00EC42D8" w:rsidRDefault="00D33FE6" w:rsidP="00D33FE6">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Republički </w:t>
      </w:r>
      <w:r w:rsidRPr="00EC42D8">
        <w:rPr>
          <w:rFonts w:ascii="Acumin Pro Light" w:hAnsi="Acumin Pro Light"/>
          <w:sz w:val="18"/>
          <w:szCs w:val="18"/>
        </w:rPr>
        <w:t xml:space="preserve">zavod za statistiku i UNICEF, </w:t>
      </w:r>
      <w:r w:rsidRPr="00EC42D8">
        <w:rPr>
          <w:rFonts w:ascii="Acumin Pro Light" w:hAnsi="Acumin Pro Light"/>
          <w:i/>
          <w:sz w:val="18"/>
          <w:szCs w:val="18"/>
        </w:rPr>
        <w:t>Istraživanje višestrukih pokazatelja položaja žena i dece u Srbiji i Istraživanje višestrukih pokazatelja položaja žena i dece u romskim naseljima u Srbiji</w:t>
      </w:r>
      <w:r w:rsidRPr="00EC42D8">
        <w:rPr>
          <w:rFonts w:ascii="Acumin Pro Light" w:hAnsi="Acumin Pro Light"/>
          <w:sz w:val="18"/>
          <w:szCs w:val="18"/>
        </w:rPr>
        <w:t xml:space="preserve">, </w:t>
      </w:r>
      <w:r w:rsidRPr="00EC42D8">
        <w:rPr>
          <w:rFonts w:ascii="Acumin Pro Light" w:hAnsi="Acumin Pro Light"/>
          <w:i/>
          <w:sz w:val="18"/>
          <w:szCs w:val="18"/>
        </w:rPr>
        <w:t>Izveštaj o nalazima istraživanja</w:t>
      </w:r>
      <w:r w:rsidRPr="00EC42D8">
        <w:rPr>
          <w:rFonts w:ascii="Acumin Pro Light" w:hAnsi="Acumin Pro Light"/>
          <w:sz w:val="18"/>
          <w:szCs w:val="18"/>
        </w:rPr>
        <w:t>, x</w:t>
      </w:r>
      <w:r w:rsidR="008B551D" w:rsidRPr="00EC42D8">
        <w:rPr>
          <w:rFonts w:ascii="Acumin Pro Light" w:hAnsi="Acumin Pro Light"/>
          <w:sz w:val="18"/>
          <w:szCs w:val="18"/>
        </w:rPr>
        <w:t>xiii.</w:t>
      </w:r>
    </w:p>
  </w:footnote>
  <w:footnote w:id="6">
    <w:p w14:paraId="5A99E902" w14:textId="4F16CA34" w:rsidR="00312C7C" w:rsidRPr="00EC42D8" w:rsidRDefault="00312C7C">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5451EE" w:rsidRPr="00EC42D8">
        <w:rPr>
          <w:rFonts w:ascii="Acumin Pro Light" w:hAnsi="Acumin Pro Light"/>
          <w:sz w:val="18"/>
          <w:szCs w:val="18"/>
        </w:rPr>
        <w:t>D</w:t>
      </w:r>
      <w:r w:rsidR="00CF1CBE" w:rsidRPr="00EC42D8">
        <w:rPr>
          <w:rFonts w:ascii="Acumin Pro Light" w:hAnsi="Acumin Pro Light"/>
          <w:sz w:val="18"/>
          <w:szCs w:val="18"/>
        </w:rPr>
        <w:t>r</w:t>
      </w:r>
      <w:r w:rsidR="00A673A3" w:rsidRPr="00EC42D8">
        <w:rPr>
          <w:rFonts w:ascii="Acumin Pro Light" w:hAnsi="Acumin Pro Light"/>
          <w:sz w:val="18"/>
          <w:szCs w:val="18"/>
        </w:rPr>
        <w:t xml:space="preserve"> </w:t>
      </w:r>
      <w:r w:rsidR="005451EE" w:rsidRPr="00EC42D8">
        <w:rPr>
          <w:rFonts w:ascii="Acumin Pro Light" w:hAnsi="Acumin Pro Light"/>
          <w:sz w:val="18"/>
          <w:szCs w:val="18"/>
        </w:rPr>
        <w:t xml:space="preserve">Goran Bašić, </w:t>
      </w:r>
      <w:r w:rsidR="00270843" w:rsidRPr="00EC42D8">
        <w:rPr>
          <w:rFonts w:ascii="Acumin Pro Light" w:hAnsi="Acumin Pro Light"/>
          <w:i/>
          <w:sz w:val="18"/>
          <w:szCs w:val="18"/>
        </w:rPr>
        <w:t>Romi u Republici Srbiji</w:t>
      </w:r>
      <w:r w:rsidR="005451EE" w:rsidRPr="00EC42D8">
        <w:rPr>
          <w:rFonts w:ascii="Acumin Pro Light" w:hAnsi="Acumin Pro Light"/>
          <w:i/>
          <w:sz w:val="18"/>
          <w:szCs w:val="18"/>
        </w:rPr>
        <w:t xml:space="preserve">: Izazovi </w:t>
      </w:r>
      <w:r w:rsidR="00CF1CBE" w:rsidRPr="00EC42D8">
        <w:rPr>
          <w:rFonts w:ascii="Acumin Pro Light" w:hAnsi="Acumin Pro Light"/>
          <w:i/>
          <w:sz w:val="18"/>
          <w:szCs w:val="18"/>
        </w:rPr>
        <w:t>disrkiminacije</w:t>
      </w:r>
      <w:r w:rsidR="00270843" w:rsidRPr="00EC42D8">
        <w:rPr>
          <w:rFonts w:ascii="Acumin Pro Light" w:hAnsi="Acumin Pro Light"/>
          <w:sz w:val="18"/>
          <w:szCs w:val="18"/>
        </w:rPr>
        <w:t xml:space="preserve">, </w:t>
      </w:r>
      <w:r w:rsidR="00CF1CBE" w:rsidRPr="00EC42D8">
        <w:rPr>
          <w:rFonts w:ascii="Acumin Pro Light" w:hAnsi="Acumin Pro Light"/>
          <w:sz w:val="18"/>
          <w:szCs w:val="18"/>
        </w:rPr>
        <w:t xml:space="preserve">Evropska grupa za prava manjina, mart 2021, dostupno na </w:t>
      </w:r>
      <w:hyperlink r:id="rId2" w:history="1">
        <w:r w:rsidR="00A673A3" w:rsidRPr="00EC42D8">
          <w:rPr>
            <w:rStyle w:val="Hyperlink"/>
            <w:rFonts w:ascii="Acumin Pro Light" w:hAnsi="Acumin Pro Light"/>
            <w:sz w:val="18"/>
            <w:szCs w:val="18"/>
          </w:rPr>
          <w:t>http://praxis.org.rs/images/praxis_downloads/MRG_Rep_RomaSerb_SE_Mar21_E.pdf</w:t>
        </w:r>
      </w:hyperlink>
      <w:r w:rsidR="00A673A3" w:rsidRPr="00EC42D8">
        <w:rPr>
          <w:rFonts w:ascii="Acumin Pro Light" w:hAnsi="Acumin Pro Light"/>
          <w:sz w:val="18"/>
          <w:szCs w:val="18"/>
        </w:rPr>
        <w:t xml:space="preserve">, </w:t>
      </w:r>
      <w:r w:rsidR="00CF1CBE" w:rsidRPr="00EC42D8">
        <w:rPr>
          <w:rFonts w:ascii="Acumin Pro Light" w:hAnsi="Acumin Pro Light"/>
          <w:sz w:val="18"/>
          <w:szCs w:val="18"/>
        </w:rPr>
        <w:t xml:space="preserve"> str. 8.</w:t>
      </w:r>
      <w:r w:rsidR="00270843" w:rsidRPr="00EC42D8">
        <w:rPr>
          <w:rFonts w:ascii="Acumin Pro Light" w:hAnsi="Acumin Pro Light"/>
          <w:sz w:val="18"/>
          <w:szCs w:val="18"/>
        </w:rPr>
        <w:t xml:space="preserve"> Isto istraživanje ukazuje i na probleme Roma u pristupu pravu na zdravlje: 33,1% Roma obuhvaćenih istraživanjem istaklo je da su kod lekara bili diskriminisani do 10 puta, a 15% više od 10 puta.</w:t>
      </w:r>
    </w:p>
  </w:footnote>
  <w:footnote w:id="7">
    <w:p w14:paraId="5AC9D20B" w14:textId="794599A9"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E36EC1" w:rsidRPr="00EC42D8">
        <w:rPr>
          <w:rFonts w:ascii="Acumin Pro Light" w:hAnsi="Acumin Pro Light"/>
          <w:sz w:val="18"/>
          <w:szCs w:val="18"/>
        </w:rPr>
        <w:t xml:space="preserve">„Sl. </w:t>
      </w:r>
      <w:r w:rsidR="00E36EC1" w:rsidRPr="00EC42D8">
        <w:rPr>
          <w:rFonts w:ascii="Acumin Pro Light" w:hAnsi="Acumin Pro Light"/>
          <w:sz w:val="18"/>
          <w:szCs w:val="18"/>
        </w:rPr>
        <w:t>glasnik RS“, br. 26/2001, "Sl. list SRJ", br. 42/2002 - odluka SUS i "Sl. glasnik RS", br. 80/2002, 80/2002 - dr. zakon, 135/2004, 61/2007, 5/2009, 101/2010, 24/2011, 78/2011, 57/2012 - odluka US, 47/2013, 68/2014 - dr. zakon, 95/2018, 99/2018 - odluka US, 86/2019 i 144/2020).</w:t>
      </w:r>
    </w:p>
  </w:footnote>
  <w:footnote w:id="8">
    <w:p w14:paraId="0C959D66" w14:textId="0D3DDB9B" w:rsidR="00B11728" w:rsidRPr="00EC42D8" w:rsidRDefault="00B11728">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UN </w:t>
      </w:r>
      <w:r w:rsidRPr="00EC42D8">
        <w:rPr>
          <w:rFonts w:ascii="Acumin Pro Light" w:hAnsi="Acumin Pro Light"/>
          <w:sz w:val="18"/>
          <w:szCs w:val="18"/>
        </w:rPr>
        <w:t xml:space="preserve">dokument br. A/HRC/31/54/Add.2, od 26. februara 2016. godine. </w:t>
      </w:r>
    </w:p>
  </w:footnote>
  <w:footnote w:id="9">
    <w:p w14:paraId="070DFCC0" w14:textId="308BF786" w:rsidR="000C7B08" w:rsidRPr="00EC42D8" w:rsidRDefault="000C7B08">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810F9D" w:rsidRPr="00EC42D8">
        <w:rPr>
          <w:rFonts w:ascii="Acumin Pro Light" w:hAnsi="Acumin Pro Light"/>
          <w:sz w:val="18"/>
          <w:szCs w:val="18"/>
        </w:rPr>
        <w:t xml:space="preserve">Čl. </w:t>
      </w:r>
      <w:r w:rsidR="00810F9D" w:rsidRPr="00EC42D8">
        <w:rPr>
          <w:rFonts w:ascii="Acumin Pro Light" w:hAnsi="Acumin Pro Light"/>
          <w:sz w:val="18"/>
          <w:szCs w:val="18"/>
        </w:rPr>
        <w:t>13 Zakona o porezima na imovinu.</w:t>
      </w:r>
    </w:p>
  </w:footnote>
  <w:footnote w:id="10">
    <w:p w14:paraId="3ADDA279" w14:textId="0DBEED4B" w:rsidR="00B11728" w:rsidRPr="00EC42D8" w:rsidRDefault="00B11728">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Ministarstvo finansija, Sektor za fiskalni sistem, mišljenje br. 011-00-01214/2016-04 od 1. februara 2017. godine</w:t>
      </w:r>
      <w:r w:rsidR="00EB44BC" w:rsidRPr="00EC42D8">
        <w:rPr>
          <w:rFonts w:ascii="Acumin Pro Light" w:hAnsi="Acumin Pro Light"/>
          <w:sz w:val="18"/>
          <w:szCs w:val="18"/>
        </w:rPr>
        <w:t>.</w:t>
      </w:r>
    </w:p>
  </w:footnote>
  <w:footnote w:id="11">
    <w:p w14:paraId="02F58F2F" w14:textId="520EDE87" w:rsidR="004739E4" w:rsidRPr="00EC42D8" w:rsidRDefault="004739E4">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Videti, naročito, </w:t>
      </w:r>
      <w:r w:rsidRPr="00EC42D8">
        <w:rPr>
          <w:rFonts w:ascii="Acumin Pro Light" w:hAnsi="Acumin Pro Light"/>
          <w:i/>
          <w:sz w:val="18"/>
          <w:szCs w:val="18"/>
        </w:rPr>
        <w:t>Guberina protiv Hrvatske</w:t>
      </w:r>
      <w:r w:rsidRPr="00EC42D8">
        <w:rPr>
          <w:rFonts w:ascii="Acumin Pro Light" w:hAnsi="Acumin Pro Light"/>
          <w:sz w:val="18"/>
          <w:szCs w:val="18"/>
        </w:rPr>
        <w:t xml:space="preserve">, </w:t>
      </w:r>
      <w:r w:rsidR="009B7EC4" w:rsidRPr="00EC42D8">
        <w:rPr>
          <w:rFonts w:ascii="Acumin Pro Light" w:hAnsi="Acumin Pro Light"/>
          <w:sz w:val="18"/>
          <w:szCs w:val="18"/>
        </w:rPr>
        <w:t>Predstavka br. 23682/13 (ESLJP, 22. mart 2016).</w:t>
      </w:r>
    </w:p>
  </w:footnote>
  <w:footnote w:id="12">
    <w:p w14:paraId="0A4080E8" w14:textId="75080D13"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E36EC1" w:rsidRPr="00EC42D8">
        <w:rPr>
          <w:rFonts w:ascii="Acumin Pro Light" w:hAnsi="Acumin Pro Light"/>
          <w:sz w:val="18"/>
          <w:szCs w:val="18"/>
        </w:rPr>
        <w:t xml:space="preserve">„Sl. </w:t>
      </w:r>
      <w:r w:rsidR="00E36EC1" w:rsidRPr="00EC42D8">
        <w:rPr>
          <w:rFonts w:ascii="Acumin Pro Light" w:hAnsi="Acumin Pro Light"/>
          <w:sz w:val="18"/>
          <w:szCs w:val="18"/>
        </w:rPr>
        <w:t>glasnik RS“, br. 24/2011.</w:t>
      </w:r>
    </w:p>
  </w:footnote>
  <w:footnote w:id="13">
    <w:p w14:paraId="37084B83" w14:textId="229F2405" w:rsidR="00EB44BC" w:rsidRPr="00EC42D8" w:rsidRDefault="00EB44BC">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Ovde je važno napomenuti da je za besplatnu pravnu pomoć jedan od uslova da je korisnik u sistemu socijalne zaštite, što podrazumeva da korisnici moraju da dobiju pravnu pomoć za sastavljanje tužbe da bi mogli da apliciraju za besplatnu pravnu pomoć. </w:t>
      </w:r>
    </w:p>
  </w:footnote>
  <w:footnote w:id="14">
    <w:p w14:paraId="4A9F713B" w14:textId="2DE75E1E" w:rsidR="00E804F8" w:rsidRPr="00EC42D8" w:rsidRDefault="00E804F8">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Komitet Ujedinjenih nacija za ekonomska, socijalna i kulturna prava, paragraf 24, Zaključna razmatranja, Srbija, UN dokument br. E/C.12/SRB/CO/2 od 10. jula 2014. godine. </w:t>
      </w:r>
    </w:p>
  </w:footnote>
  <w:footnote w:id="15">
    <w:p w14:paraId="2BB24320" w14:textId="12EBEFB4" w:rsidR="00E36EC1" w:rsidRPr="00EC42D8" w:rsidRDefault="00E36EC1">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„Sl. </w:t>
      </w:r>
      <w:r w:rsidRPr="00EC42D8">
        <w:rPr>
          <w:rFonts w:ascii="Acumin Pro Light" w:hAnsi="Acumin Pro Light"/>
          <w:sz w:val="18"/>
          <w:szCs w:val="18"/>
        </w:rPr>
        <w:t xml:space="preserve">glasnik RS“, br. 112/2014. </w:t>
      </w:r>
    </w:p>
  </w:footnote>
  <w:footnote w:id="16">
    <w:p w14:paraId="2B7C3B81" w14:textId="702A413D" w:rsidR="00A600F6" w:rsidRPr="00EC42D8" w:rsidRDefault="00A600F6">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8A3113" w:rsidRPr="00EC42D8">
        <w:rPr>
          <w:rFonts w:ascii="Acumin Pro Light" w:hAnsi="Acumin Pro Light"/>
          <w:sz w:val="18"/>
          <w:szCs w:val="18"/>
        </w:rPr>
        <w:t xml:space="preserve">A </w:t>
      </w:r>
      <w:r w:rsidR="008A3113" w:rsidRPr="00EC42D8">
        <w:rPr>
          <w:rFonts w:ascii="Acumin Pro Light" w:hAnsi="Acumin Pro Light"/>
          <w:sz w:val="18"/>
          <w:szCs w:val="18"/>
        </w:rPr>
        <w:t xml:space="preserve">11 – Inicijativa za ekonomska i socijalna prava, </w:t>
      </w:r>
      <w:r w:rsidR="008A3113" w:rsidRPr="00EC42D8">
        <w:rPr>
          <w:rFonts w:ascii="Acumin Pro Light" w:hAnsi="Acumin Pro Light"/>
          <w:i/>
          <w:sz w:val="18"/>
          <w:szCs w:val="18"/>
        </w:rPr>
        <w:t xml:space="preserve">U fokusu: četiri godine prinudnog rada u Srbiji, Rezultati primene Uredbe o merama socijalne uključenosti korisnika novčane socijalne pomoći, </w:t>
      </w:r>
      <w:r w:rsidR="00944CC7" w:rsidRPr="00EC42D8">
        <w:rPr>
          <w:rFonts w:ascii="Acumin Pro Light" w:hAnsi="Acumin Pro Light"/>
          <w:sz w:val="18"/>
          <w:szCs w:val="18"/>
        </w:rPr>
        <w:t xml:space="preserve">2018, dostupno na: </w:t>
      </w:r>
      <w:hyperlink r:id="rId3" w:history="1">
        <w:r w:rsidR="00944CC7" w:rsidRPr="00EC42D8">
          <w:rPr>
            <w:rStyle w:val="Hyperlink"/>
            <w:rFonts w:ascii="Acumin Pro Light" w:hAnsi="Acumin Pro Light"/>
            <w:sz w:val="18"/>
            <w:szCs w:val="18"/>
          </w:rPr>
          <w:t>https://www.a11initiative.org/wp-content/uploads/2018/10/Uredba_SR.pdf</w:t>
        </w:r>
      </w:hyperlink>
      <w:r w:rsidR="00944CC7" w:rsidRPr="00EC42D8">
        <w:rPr>
          <w:rFonts w:ascii="Acumin Pro Light" w:hAnsi="Acumin Pro Light"/>
          <w:sz w:val="18"/>
          <w:szCs w:val="18"/>
        </w:rPr>
        <w:t xml:space="preserve">. </w:t>
      </w:r>
    </w:p>
  </w:footnote>
  <w:footnote w:id="17">
    <w:p w14:paraId="235AF4C3" w14:textId="335A5C0B" w:rsidR="00944CC7" w:rsidRPr="00EC42D8" w:rsidRDefault="00944CC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Zahtev </w:t>
      </w:r>
      <w:r w:rsidRPr="00EC42D8">
        <w:rPr>
          <w:rFonts w:ascii="Acumin Pro Light" w:hAnsi="Acumin Pro Light"/>
          <w:sz w:val="18"/>
          <w:szCs w:val="18"/>
        </w:rPr>
        <w:t xml:space="preserve">nevladinih organizacija upućen Vladi Republike Srbije, </w:t>
      </w:r>
      <w:r w:rsidR="00980EC6" w:rsidRPr="00EC42D8">
        <w:rPr>
          <w:rFonts w:ascii="Acumin Pro Light" w:hAnsi="Acumin Pro Light"/>
          <w:sz w:val="18"/>
          <w:szCs w:val="18"/>
        </w:rPr>
        <w:t xml:space="preserve">dostupno na: </w:t>
      </w:r>
      <w:hyperlink r:id="rId4" w:history="1">
        <w:r w:rsidR="00980EC6" w:rsidRPr="00EC42D8">
          <w:rPr>
            <w:rStyle w:val="Hyperlink"/>
            <w:rFonts w:ascii="Acumin Pro Light" w:hAnsi="Acumin Pro Light"/>
            <w:sz w:val="18"/>
            <w:szCs w:val="18"/>
          </w:rPr>
          <w:t>http://www.praxis.org.rs/images/praxis_downloads/Zahtev%20nevladinih%20organizacija%20upucen%20Vladi%20Republike%20Srbije%20-%20Saoptenje.pdf</w:t>
        </w:r>
      </w:hyperlink>
      <w:r w:rsidR="00980EC6" w:rsidRPr="00EC42D8">
        <w:rPr>
          <w:rFonts w:ascii="Acumin Pro Light" w:hAnsi="Acumin Pro Light"/>
          <w:sz w:val="18"/>
          <w:szCs w:val="18"/>
        </w:rPr>
        <w:t xml:space="preserve">. </w:t>
      </w:r>
    </w:p>
  </w:footnote>
  <w:footnote w:id="18">
    <w:p w14:paraId="1193FE2F" w14:textId="0B5B8DE3"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00E36EC1" w:rsidRPr="00EC42D8">
        <w:rPr>
          <w:rFonts w:ascii="Acumin Pro Light" w:hAnsi="Acumin Pro Light"/>
          <w:sz w:val="18"/>
          <w:szCs w:val="18"/>
        </w:rPr>
        <w:t xml:space="preserve">„Sl. </w:t>
      </w:r>
      <w:r w:rsidR="00E36EC1" w:rsidRPr="00EC42D8">
        <w:rPr>
          <w:rFonts w:ascii="Acumin Pro Light" w:hAnsi="Acumin Pro Light"/>
          <w:sz w:val="18"/>
          <w:szCs w:val="18"/>
        </w:rPr>
        <w:t>glasnik RS", br. 25/2019.</w:t>
      </w:r>
    </w:p>
  </w:footnote>
  <w:footnote w:id="19">
    <w:p w14:paraId="4DA8611C" w14:textId="7B9C1380"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Član </w:t>
      </w:r>
      <w:r w:rsidRPr="00EC42D8">
        <w:rPr>
          <w:rFonts w:ascii="Acumin Pro Light" w:hAnsi="Acumin Pro Light"/>
          <w:sz w:val="18"/>
          <w:szCs w:val="18"/>
        </w:rPr>
        <w:t>12 Pakta propisuje da države članice Pakta priznaju pravo svakog na najbolje fizičko i mentalno zdravlje koje može postići.</w:t>
      </w:r>
    </w:p>
  </w:footnote>
  <w:footnote w:id="20">
    <w:p w14:paraId="5FBD260C" w14:textId="7B959CE9"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 xml:space="preserve">Prema </w:t>
      </w:r>
      <w:r w:rsidRPr="00EC42D8">
        <w:rPr>
          <w:rFonts w:ascii="Acumin Pro Light" w:hAnsi="Acumin Pro Light"/>
          <w:sz w:val="18"/>
          <w:szCs w:val="18"/>
        </w:rPr>
        <w:t>nekim podacima i istraživanjima, prosečna cena lečenja karcinoma po pacijentu u prvih šest meseci je oko 6.950 evra</w:t>
      </w:r>
      <w:r w:rsidR="00E36EC1" w:rsidRPr="00EC42D8">
        <w:rPr>
          <w:rFonts w:ascii="Acumin Pro Light" w:hAnsi="Acumin Pro Light"/>
          <w:sz w:val="18"/>
          <w:szCs w:val="18"/>
        </w:rPr>
        <w:t>.</w:t>
      </w:r>
    </w:p>
  </w:footnote>
  <w:footnote w:id="21">
    <w:p w14:paraId="68A37507" w14:textId="1D945D92" w:rsidR="00763077" w:rsidRPr="00EC42D8" w:rsidRDefault="00763077">
      <w:pPr>
        <w:pStyle w:val="FootnoteText"/>
        <w:rPr>
          <w:rFonts w:ascii="Acumin Pro Light" w:hAnsi="Acumin Pro Light"/>
          <w:sz w:val="18"/>
          <w:szCs w:val="18"/>
        </w:rPr>
      </w:pPr>
      <w:r w:rsidRPr="00EC42D8">
        <w:rPr>
          <w:rStyle w:val="FootnoteReference"/>
          <w:rFonts w:ascii="Acumin Pro Light" w:hAnsi="Acumin Pro Light"/>
          <w:sz w:val="18"/>
          <w:szCs w:val="18"/>
        </w:rPr>
        <w:footnoteRef/>
      </w:r>
      <w:r w:rsidRPr="00EC42D8">
        <w:rPr>
          <w:rFonts w:ascii="Acumin Pro Light" w:hAnsi="Acumin Pro Light"/>
          <w:sz w:val="18"/>
          <w:szCs w:val="18"/>
        </w:rPr>
        <w:t xml:space="preserve"> </w:t>
      </w:r>
      <w:r w:rsidRPr="00EC42D8">
        <w:rPr>
          <w:rFonts w:ascii="Acumin Pro Light" w:hAnsi="Acumin Pro Light"/>
          <w:sz w:val="18"/>
          <w:szCs w:val="18"/>
        </w:rPr>
        <w:t>Aleksandar Dagović i Klazien Matter Walstra, compilers. Resource use and Costs of Newly Diagnosed Cancer Initial Medical Care. Dostupno na: mattioli1885journals.com/index.php/Europeanjournalofoncology/article/view/3640/3187</w:t>
      </w:r>
      <w:r w:rsidR="00381607" w:rsidRPr="00EC42D8">
        <w:rPr>
          <w:rFonts w:ascii="Acumin Pro Light" w:hAnsi="Acumin Pro Light"/>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17F1C"/>
    <w:multiLevelType w:val="hybridMultilevel"/>
    <w:tmpl w:val="37F8A15E"/>
    <w:lvl w:ilvl="0" w:tplc="3B0EDD82">
      <w:numFmt w:val="bullet"/>
      <w:lvlText w:val="•"/>
      <w:lvlJc w:val="left"/>
      <w:pPr>
        <w:ind w:left="720" w:hanging="360"/>
      </w:pPr>
      <w:rPr>
        <w:rFonts w:ascii="Acumin Pro" w:eastAsiaTheme="minorHAnsi" w:hAnsi="Acumin Pro"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02C7216"/>
    <w:multiLevelType w:val="hybridMultilevel"/>
    <w:tmpl w:val="E8440C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A262A00"/>
    <w:multiLevelType w:val="hybridMultilevel"/>
    <w:tmpl w:val="FF6EED78"/>
    <w:lvl w:ilvl="0" w:tplc="3B0EDD82">
      <w:numFmt w:val="bullet"/>
      <w:lvlText w:val="•"/>
      <w:lvlJc w:val="left"/>
      <w:pPr>
        <w:ind w:left="720" w:hanging="360"/>
      </w:pPr>
      <w:rPr>
        <w:rFonts w:ascii="Acumin Pro" w:eastAsiaTheme="minorHAnsi" w:hAnsi="Acumin Pro"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08802E6"/>
    <w:multiLevelType w:val="hybridMultilevel"/>
    <w:tmpl w:val="61F66E7C"/>
    <w:lvl w:ilvl="0" w:tplc="3B0EDD82">
      <w:numFmt w:val="bullet"/>
      <w:lvlText w:val="•"/>
      <w:lvlJc w:val="left"/>
      <w:pPr>
        <w:ind w:left="720" w:hanging="360"/>
      </w:pPr>
      <w:rPr>
        <w:rFonts w:ascii="Acumin Pro" w:eastAsiaTheme="minorHAnsi" w:hAnsi="Acumin Pro"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CAB65D8"/>
    <w:multiLevelType w:val="hybridMultilevel"/>
    <w:tmpl w:val="DD8CBD40"/>
    <w:lvl w:ilvl="0" w:tplc="1A64CF8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sLAwtTQ1NjMxNzdW0lEKTi0uzszPAykwqgUA/Zy+ZywAAAA="/>
  </w:docVars>
  <w:rsids>
    <w:rsidRoot w:val="00D01093"/>
    <w:rsid w:val="00043ACE"/>
    <w:rsid w:val="000C7B08"/>
    <w:rsid w:val="000E7F09"/>
    <w:rsid w:val="00106033"/>
    <w:rsid w:val="00135D57"/>
    <w:rsid w:val="00172D19"/>
    <w:rsid w:val="001A3A70"/>
    <w:rsid w:val="002152E4"/>
    <w:rsid w:val="00221A67"/>
    <w:rsid w:val="00270843"/>
    <w:rsid w:val="002C35F9"/>
    <w:rsid w:val="00303D6A"/>
    <w:rsid w:val="00312C7C"/>
    <w:rsid w:val="00381607"/>
    <w:rsid w:val="00383ED2"/>
    <w:rsid w:val="003849AB"/>
    <w:rsid w:val="004058CE"/>
    <w:rsid w:val="004739E4"/>
    <w:rsid w:val="005100F0"/>
    <w:rsid w:val="005451EE"/>
    <w:rsid w:val="00570E64"/>
    <w:rsid w:val="005A0BF8"/>
    <w:rsid w:val="005A50C0"/>
    <w:rsid w:val="006148FA"/>
    <w:rsid w:val="00630FDD"/>
    <w:rsid w:val="00673A6D"/>
    <w:rsid w:val="006A256E"/>
    <w:rsid w:val="006E4A75"/>
    <w:rsid w:val="00763077"/>
    <w:rsid w:val="007C1E45"/>
    <w:rsid w:val="00804185"/>
    <w:rsid w:val="00810F9D"/>
    <w:rsid w:val="008202DA"/>
    <w:rsid w:val="00824962"/>
    <w:rsid w:val="0085256A"/>
    <w:rsid w:val="00853D69"/>
    <w:rsid w:val="00855927"/>
    <w:rsid w:val="008A3113"/>
    <w:rsid w:val="008B551D"/>
    <w:rsid w:val="008F3CDA"/>
    <w:rsid w:val="00944CC7"/>
    <w:rsid w:val="00980EC6"/>
    <w:rsid w:val="009B7EC4"/>
    <w:rsid w:val="009C099E"/>
    <w:rsid w:val="009E2B82"/>
    <w:rsid w:val="00A335AD"/>
    <w:rsid w:val="00A600F6"/>
    <w:rsid w:val="00A673A3"/>
    <w:rsid w:val="00AE0C9A"/>
    <w:rsid w:val="00AF65E0"/>
    <w:rsid w:val="00B11728"/>
    <w:rsid w:val="00B37683"/>
    <w:rsid w:val="00B56C9B"/>
    <w:rsid w:val="00BF1A9E"/>
    <w:rsid w:val="00C27826"/>
    <w:rsid w:val="00C5545D"/>
    <w:rsid w:val="00CA2A57"/>
    <w:rsid w:val="00CE7449"/>
    <w:rsid w:val="00CF1A7A"/>
    <w:rsid w:val="00CF1CBE"/>
    <w:rsid w:val="00D01093"/>
    <w:rsid w:val="00D33FE6"/>
    <w:rsid w:val="00DA0D77"/>
    <w:rsid w:val="00E36EC1"/>
    <w:rsid w:val="00E516D7"/>
    <w:rsid w:val="00E71A2B"/>
    <w:rsid w:val="00E804F8"/>
    <w:rsid w:val="00EB44BC"/>
    <w:rsid w:val="00EC42D8"/>
    <w:rsid w:val="00F13D3C"/>
    <w:rsid w:val="00F31995"/>
    <w:rsid w:val="00F43862"/>
    <w:rsid w:val="00F550D1"/>
    <w:rsid w:val="00F813EA"/>
    <w:rsid w:val="00FA48BF"/>
    <w:rsid w:val="00FA6CF4"/>
    <w:rsid w:val="00FB54D4"/>
    <w:rsid w:val="00FD187C"/>
    <w:rsid w:val="00FE59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BBC7"/>
  <w15:chartTrackingRefBased/>
  <w15:docId w15:val="{9FA76A4F-B8C1-401C-9C59-8332B571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1172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FootnoteText">
    <w:name w:val="footnote text"/>
    <w:basedOn w:val="Normal"/>
    <w:link w:val="FootnoteTextChar"/>
    <w:uiPriority w:val="99"/>
    <w:semiHidden/>
    <w:unhideWhenUsed/>
    <w:rsid w:val="00B11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728"/>
    <w:rPr>
      <w:sz w:val="20"/>
      <w:szCs w:val="20"/>
    </w:rPr>
  </w:style>
  <w:style w:type="character" w:styleId="FootnoteReference">
    <w:name w:val="footnote reference"/>
    <w:basedOn w:val="DefaultParagraphFont"/>
    <w:uiPriority w:val="99"/>
    <w:semiHidden/>
    <w:unhideWhenUsed/>
    <w:rsid w:val="00B11728"/>
    <w:rPr>
      <w:vertAlign w:val="superscript"/>
    </w:rPr>
  </w:style>
  <w:style w:type="paragraph" w:styleId="ListParagraph">
    <w:name w:val="List Paragraph"/>
    <w:basedOn w:val="Normal"/>
    <w:uiPriority w:val="34"/>
    <w:qFormat/>
    <w:rsid w:val="00763077"/>
    <w:pPr>
      <w:ind w:left="720"/>
      <w:contextualSpacing/>
    </w:pPr>
  </w:style>
  <w:style w:type="paragraph" w:styleId="NormalWeb">
    <w:name w:val="Normal (Web)"/>
    <w:basedOn w:val="Normal"/>
    <w:uiPriority w:val="99"/>
    <w:semiHidden/>
    <w:unhideWhenUsed/>
    <w:rsid w:val="002152E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1tekst">
    <w:name w:val="_1tekst"/>
    <w:basedOn w:val="Normal"/>
    <w:rsid w:val="0085592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Header">
    <w:name w:val="header"/>
    <w:basedOn w:val="Normal"/>
    <w:link w:val="HeaderChar"/>
    <w:uiPriority w:val="99"/>
    <w:unhideWhenUsed/>
    <w:rsid w:val="00E3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EC1"/>
  </w:style>
  <w:style w:type="paragraph" w:styleId="Footer">
    <w:name w:val="footer"/>
    <w:basedOn w:val="Normal"/>
    <w:link w:val="FooterChar"/>
    <w:uiPriority w:val="99"/>
    <w:unhideWhenUsed/>
    <w:rsid w:val="00E3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EC1"/>
  </w:style>
  <w:style w:type="character" w:styleId="CommentReference">
    <w:name w:val="annotation reference"/>
    <w:basedOn w:val="DefaultParagraphFont"/>
    <w:uiPriority w:val="99"/>
    <w:semiHidden/>
    <w:unhideWhenUsed/>
    <w:rsid w:val="00B56C9B"/>
    <w:rPr>
      <w:sz w:val="16"/>
      <w:szCs w:val="16"/>
    </w:rPr>
  </w:style>
  <w:style w:type="paragraph" w:styleId="CommentText">
    <w:name w:val="annotation text"/>
    <w:basedOn w:val="Normal"/>
    <w:link w:val="CommentTextChar"/>
    <w:uiPriority w:val="99"/>
    <w:semiHidden/>
    <w:unhideWhenUsed/>
    <w:rsid w:val="00B56C9B"/>
    <w:pPr>
      <w:spacing w:line="240" w:lineRule="auto"/>
    </w:pPr>
    <w:rPr>
      <w:sz w:val="20"/>
      <w:szCs w:val="20"/>
    </w:rPr>
  </w:style>
  <w:style w:type="character" w:customStyle="1" w:styleId="CommentTextChar">
    <w:name w:val="Comment Text Char"/>
    <w:basedOn w:val="DefaultParagraphFont"/>
    <w:link w:val="CommentText"/>
    <w:uiPriority w:val="99"/>
    <w:semiHidden/>
    <w:rsid w:val="00B56C9B"/>
    <w:rPr>
      <w:sz w:val="20"/>
      <w:szCs w:val="20"/>
    </w:rPr>
  </w:style>
  <w:style w:type="paragraph" w:styleId="CommentSubject">
    <w:name w:val="annotation subject"/>
    <w:basedOn w:val="CommentText"/>
    <w:next w:val="CommentText"/>
    <w:link w:val="CommentSubjectChar"/>
    <w:uiPriority w:val="99"/>
    <w:semiHidden/>
    <w:unhideWhenUsed/>
    <w:rsid w:val="00B56C9B"/>
    <w:rPr>
      <w:b/>
      <w:bCs/>
    </w:rPr>
  </w:style>
  <w:style w:type="character" w:customStyle="1" w:styleId="CommentSubjectChar">
    <w:name w:val="Comment Subject Char"/>
    <w:basedOn w:val="CommentTextChar"/>
    <w:link w:val="CommentSubject"/>
    <w:uiPriority w:val="99"/>
    <w:semiHidden/>
    <w:rsid w:val="00B56C9B"/>
    <w:rPr>
      <w:b/>
      <w:bCs/>
      <w:sz w:val="20"/>
      <w:szCs w:val="20"/>
    </w:rPr>
  </w:style>
  <w:style w:type="paragraph" w:styleId="BalloonText">
    <w:name w:val="Balloon Text"/>
    <w:basedOn w:val="Normal"/>
    <w:link w:val="BalloonTextChar"/>
    <w:uiPriority w:val="99"/>
    <w:semiHidden/>
    <w:unhideWhenUsed/>
    <w:rsid w:val="00B56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9B"/>
    <w:rPr>
      <w:rFonts w:ascii="Segoe UI" w:hAnsi="Segoe UI" w:cs="Segoe UI"/>
      <w:sz w:val="18"/>
      <w:szCs w:val="18"/>
    </w:rPr>
  </w:style>
  <w:style w:type="character" w:styleId="Hyperlink">
    <w:name w:val="Hyperlink"/>
    <w:basedOn w:val="DefaultParagraphFont"/>
    <w:uiPriority w:val="99"/>
    <w:unhideWhenUsed/>
    <w:rsid w:val="00A67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3965">
      <w:bodyDiv w:val="1"/>
      <w:marLeft w:val="0"/>
      <w:marRight w:val="0"/>
      <w:marTop w:val="0"/>
      <w:marBottom w:val="0"/>
      <w:divBdr>
        <w:top w:val="none" w:sz="0" w:space="0" w:color="auto"/>
        <w:left w:val="none" w:sz="0" w:space="0" w:color="auto"/>
        <w:bottom w:val="none" w:sz="0" w:space="0" w:color="auto"/>
        <w:right w:val="none" w:sz="0" w:space="0" w:color="auto"/>
      </w:divBdr>
    </w:div>
    <w:div w:id="92824695">
      <w:bodyDiv w:val="1"/>
      <w:marLeft w:val="0"/>
      <w:marRight w:val="0"/>
      <w:marTop w:val="0"/>
      <w:marBottom w:val="0"/>
      <w:divBdr>
        <w:top w:val="none" w:sz="0" w:space="0" w:color="auto"/>
        <w:left w:val="none" w:sz="0" w:space="0" w:color="auto"/>
        <w:bottom w:val="none" w:sz="0" w:space="0" w:color="auto"/>
        <w:right w:val="none" w:sz="0" w:space="0" w:color="auto"/>
      </w:divBdr>
    </w:div>
    <w:div w:id="770780542">
      <w:bodyDiv w:val="1"/>
      <w:marLeft w:val="0"/>
      <w:marRight w:val="0"/>
      <w:marTop w:val="0"/>
      <w:marBottom w:val="0"/>
      <w:divBdr>
        <w:top w:val="none" w:sz="0" w:space="0" w:color="auto"/>
        <w:left w:val="none" w:sz="0" w:space="0" w:color="auto"/>
        <w:bottom w:val="none" w:sz="0" w:space="0" w:color="auto"/>
        <w:right w:val="none" w:sz="0" w:space="0" w:color="auto"/>
      </w:divBdr>
      <w:divsChild>
        <w:div w:id="17944435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047915">
      <w:bodyDiv w:val="1"/>
      <w:marLeft w:val="0"/>
      <w:marRight w:val="0"/>
      <w:marTop w:val="0"/>
      <w:marBottom w:val="0"/>
      <w:divBdr>
        <w:top w:val="none" w:sz="0" w:space="0" w:color="auto"/>
        <w:left w:val="none" w:sz="0" w:space="0" w:color="auto"/>
        <w:bottom w:val="none" w:sz="0" w:space="0" w:color="auto"/>
        <w:right w:val="none" w:sz="0" w:space="0" w:color="auto"/>
      </w:divBdr>
    </w:div>
    <w:div w:id="1629628756">
      <w:bodyDiv w:val="1"/>
      <w:marLeft w:val="0"/>
      <w:marRight w:val="0"/>
      <w:marTop w:val="0"/>
      <w:marBottom w:val="0"/>
      <w:divBdr>
        <w:top w:val="none" w:sz="0" w:space="0" w:color="auto"/>
        <w:left w:val="none" w:sz="0" w:space="0" w:color="auto"/>
        <w:bottom w:val="none" w:sz="0" w:space="0" w:color="auto"/>
        <w:right w:val="none" w:sz="0" w:space="0" w:color="auto"/>
      </w:divBdr>
    </w:div>
    <w:div w:id="19765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11initiative.org/wp-content/uploads/2018/10/Uredba_SR.pdf" TargetMode="External"/><Relationship Id="rId2" Type="http://schemas.openxmlformats.org/officeDocument/2006/relationships/hyperlink" Target="http://praxis.org.rs/images/praxis_downloads/MRG_Rep_RomaSerb_SE_Mar21_E.pdf" TargetMode="External"/><Relationship Id="rId1" Type="http://schemas.openxmlformats.org/officeDocument/2006/relationships/hyperlink" Target="https://www.eurasia.undp.org/content/dam/rbec/docs/Factsheet_SERBIA_Roma.pdf" TargetMode="External"/><Relationship Id="rId4" Type="http://schemas.openxmlformats.org/officeDocument/2006/relationships/hyperlink" Target="http://www.praxis.org.rs/images/praxis_downloads/Zahtev%20nevladinih%20organizacija%20upucen%20Vladi%20Republike%20Srbije%20-%20Saopten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A5C3-6559-490B-A592-1934B0D1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Ćurčić</cp:lastModifiedBy>
  <cp:revision>2</cp:revision>
  <cp:lastPrinted>2021-03-04T12:09:00Z</cp:lastPrinted>
  <dcterms:created xsi:type="dcterms:W3CDTF">2021-03-04T12:10:00Z</dcterms:created>
  <dcterms:modified xsi:type="dcterms:W3CDTF">2021-03-04T12:10:00Z</dcterms:modified>
</cp:coreProperties>
</file>