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84F4" w14:textId="7E961BEE" w:rsidR="009B3885" w:rsidRPr="00790395" w:rsidRDefault="00790395" w:rsidP="00627234">
      <w:pPr>
        <w:widowControl w:val="0"/>
        <w:pBdr>
          <w:top w:val="nil"/>
          <w:left w:val="nil"/>
          <w:bottom w:val="nil"/>
          <w:right w:val="nil"/>
          <w:between w:val="nil"/>
        </w:pBdr>
        <w:spacing w:before="100" w:beforeAutospacing="1" w:after="100" w:afterAutospacing="1" w:line="240" w:lineRule="auto"/>
        <w:rPr>
          <w:lang w:val="sr-Latn-RS"/>
        </w:rPr>
      </w:pPr>
      <w:r w:rsidRPr="00790395">
        <w:rPr>
          <w:noProof/>
          <w:lang w:val="sr-Latn-RS" w:eastAsia="en-GB"/>
        </w:rPr>
        <w:drawing>
          <wp:anchor distT="0" distB="0" distL="114300" distR="114300" simplePos="0" relativeHeight="251655168" behindDoc="0" locked="0" layoutInCell="1" hidden="0" allowOverlap="1" wp14:anchorId="0E0FCBA8" wp14:editId="0D172052">
            <wp:simplePos x="0" y="0"/>
            <wp:positionH relativeFrom="column">
              <wp:posOffset>3543300</wp:posOffset>
            </wp:positionH>
            <wp:positionV relativeFrom="paragraph">
              <wp:posOffset>-251460</wp:posOffset>
            </wp:positionV>
            <wp:extent cx="2348865" cy="98361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6" name="image3.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348865" cy="983615"/>
                    </a:xfrm>
                    <a:prstGeom prst="rect">
                      <a:avLst/>
                    </a:prstGeom>
                    <a:ln/>
                  </pic:spPr>
                </pic:pic>
              </a:graphicData>
            </a:graphic>
          </wp:anchor>
        </w:drawing>
      </w:r>
      <w:r w:rsidR="00691620">
        <w:rPr>
          <w:lang w:val="sr-Latn-RS"/>
        </w:rPr>
        <w:pict w14:anchorId="53963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9264;visibility:hidden;mso-position-horizontal-relative:text;mso-position-vertical-relative:text">
            <o:lock v:ext="edit" selection="t"/>
          </v:shape>
        </w:pict>
      </w:r>
    </w:p>
    <w:p w14:paraId="198A4023" w14:textId="4E110914" w:rsidR="009B3885" w:rsidRPr="00790395" w:rsidRDefault="008C0DA0" w:rsidP="00627234">
      <w:pPr>
        <w:spacing w:before="100" w:beforeAutospacing="1" w:after="100" w:afterAutospacing="1" w:line="240" w:lineRule="auto"/>
        <w:rPr>
          <w:lang w:val="sr-Latn-RS"/>
        </w:rPr>
      </w:pPr>
      <w:r w:rsidRPr="00790395">
        <w:rPr>
          <w:noProof/>
          <w:lang w:val="sr-Latn-RS" w:eastAsia="en-GB"/>
        </w:rPr>
        <w:drawing>
          <wp:anchor distT="0" distB="0" distL="114300" distR="114300" simplePos="0" relativeHeight="251653120" behindDoc="0" locked="0" layoutInCell="1" hidden="0" allowOverlap="1" wp14:anchorId="44EAC5BF" wp14:editId="5FBA673B">
            <wp:simplePos x="0" y="0"/>
            <wp:positionH relativeFrom="column">
              <wp:posOffset>-259079</wp:posOffset>
            </wp:positionH>
            <wp:positionV relativeFrom="paragraph">
              <wp:posOffset>-430529</wp:posOffset>
            </wp:positionV>
            <wp:extent cx="2514600" cy="654685"/>
            <wp:effectExtent l="0" t="0" r="0" b="0"/>
            <wp:wrapNone/>
            <wp:docPr id="8" name="image4.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pic:cNvPicPr preferRelativeResize="0"/>
                  </pic:nvPicPr>
                  <pic:blipFill>
                    <a:blip r:embed="rId13"/>
                    <a:srcRect/>
                    <a:stretch>
                      <a:fillRect/>
                    </a:stretch>
                  </pic:blipFill>
                  <pic:spPr>
                    <a:xfrm>
                      <a:off x="0" y="0"/>
                      <a:ext cx="2514600" cy="654685"/>
                    </a:xfrm>
                    <a:prstGeom prst="rect">
                      <a:avLst/>
                    </a:prstGeom>
                    <a:ln/>
                  </pic:spPr>
                </pic:pic>
              </a:graphicData>
            </a:graphic>
          </wp:anchor>
        </w:drawing>
      </w:r>
    </w:p>
    <w:p w14:paraId="67CB3ABB" w14:textId="77777777" w:rsidR="009B3885" w:rsidRPr="00790395" w:rsidRDefault="009B3885" w:rsidP="00627234">
      <w:pPr>
        <w:spacing w:before="100" w:beforeAutospacing="1" w:after="100" w:afterAutospacing="1" w:line="240" w:lineRule="auto"/>
        <w:rPr>
          <w:lang w:val="sr-Latn-RS"/>
        </w:rPr>
      </w:pPr>
    </w:p>
    <w:p w14:paraId="7A9904BA" w14:textId="77777777" w:rsidR="009B3885" w:rsidRPr="00790395" w:rsidRDefault="009B3885" w:rsidP="00627234">
      <w:pPr>
        <w:spacing w:before="100" w:beforeAutospacing="1" w:after="100" w:afterAutospacing="1" w:line="240" w:lineRule="auto"/>
        <w:rPr>
          <w:lang w:val="sr-Latn-RS"/>
        </w:rPr>
      </w:pPr>
    </w:p>
    <w:p w14:paraId="5B5749E1" w14:textId="77777777" w:rsidR="009B3885" w:rsidRPr="00790395" w:rsidRDefault="009B3885" w:rsidP="00627234">
      <w:pPr>
        <w:spacing w:before="100" w:beforeAutospacing="1" w:after="100" w:afterAutospacing="1" w:line="240" w:lineRule="auto"/>
        <w:rPr>
          <w:lang w:val="sr-Latn-RS"/>
        </w:rPr>
      </w:pPr>
    </w:p>
    <w:p w14:paraId="3EBA35BF" w14:textId="77777777" w:rsidR="009B3885" w:rsidRPr="00790395" w:rsidRDefault="009B3885" w:rsidP="00627234">
      <w:pPr>
        <w:spacing w:before="100" w:beforeAutospacing="1" w:after="100" w:afterAutospacing="1" w:line="240" w:lineRule="auto"/>
        <w:rPr>
          <w:lang w:val="sr-Latn-RS"/>
        </w:rPr>
      </w:pPr>
    </w:p>
    <w:p w14:paraId="08ACC7A4" w14:textId="77777777" w:rsidR="009B3885" w:rsidRPr="00790395" w:rsidRDefault="009B3885" w:rsidP="00627234">
      <w:pPr>
        <w:spacing w:before="100" w:beforeAutospacing="1" w:after="100" w:afterAutospacing="1" w:line="240" w:lineRule="auto"/>
        <w:jc w:val="center"/>
        <w:rPr>
          <w:b/>
          <w:sz w:val="24"/>
          <w:szCs w:val="24"/>
          <w:lang w:val="sr-Latn-RS"/>
        </w:rPr>
      </w:pPr>
    </w:p>
    <w:p w14:paraId="67739D97" w14:textId="77777777" w:rsidR="009B3885" w:rsidRPr="00790395" w:rsidRDefault="009B3885" w:rsidP="00627234">
      <w:pPr>
        <w:spacing w:before="100" w:beforeAutospacing="1" w:after="100" w:afterAutospacing="1" w:line="240" w:lineRule="auto"/>
        <w:jc w:val="center"/>
        <w:rPr>
          <w:b/>
          <w:sz w:val="24"/>
          <w:szCs w:val="24"/>
          <w:lang w:val="sr-Latn-RS"/>
        </w:rPr>
      </w:pPr>
    </w:p>
    <w:p w14:paraId="5971A0D7" w14:textId="77777777" w:rsidR="009B3885" w:rsidRPr="00790395" w:rsidRDefault="009B3885" w:rsidP="00627234">
      <w:pPr>
        <w:spacing w:before="100" w:beforeAutospacing="1" w:after="100" w:afterAutospacing="1" w:line="240" w:lineRule="auto"/>
        <w:jc w:val="center"/>
        <w:rPr>
          <w:b/>
          <w:sz w:val="24"/>
          <w:szCs w:val="24"/>
          <w:lang w:val="sr-Latn-RS"/>
        </w:rPr>
      </w:pPr>
    </w:p>
    <w:p w14:paraId="77344306" w14:textId="4129E571" w:rsidR="009B3885" w:rsidRPr="00790395" w:rsidRDefault="008266A4" w:rsidP="00627234">
      <w:pPr>
        <w:spacing w:before="100" w:beforeAutospacing="1" w:after="100" w:afterAutospacing="1" w:line="240" w:lineRule="auto"/>
        <w:jc w:val="center"/>
        <w:rPr>
          <w:b/>
          <w:sz w:val="32"/>
          <w:szCs w:val="32"/>
          <w:lang w:val="sr-Latn-RS"/>
        </w:rPr>
      </w:pPr>
      <w:r w:rsidRPr="0067694E">
        <w:rPr>
          <w:b/>
          <w:sz w:val="32"/>
          <w:szCs w:val="32"/>
          <w:lang w:val="sr-Latn-RS"/>
        </w:rPr>
        <w:t>Zajednički podnesak Komitetu za ekonomska, socijalna</w:t>
      </w:r>
      <w:r w:rsidR="002C0A38" w:rsidRPr="0067694E">
        <w:rPr>
          <w:b/>
          <w:sz w:val="32"/>
          <w:szCs w:val="32"/>
          <w:lang w:val="sr-Latn-RS"/>
        </w:rPr>
        <w:t xml:space="preserve"> i </w:t>
      </w:r>
      <w:r w:rsidRPr="0067694E">
        <w:rPr>
          <w:b/>
          <w:sz w:val="32"/>
          <w:szCs w:val="32"/>
          <w:lang w:val="sr-Latn-RS"/>
        </w:rPr>
        <w:t xml:space="preserve">kulturna prava povodom trećeg periodičnog izveštaja Republike Srbije za 71. sesiju Komiteta koja </w:t>
      </w:r>
      <w:r w:rsidR="00790395" w:rsidRPr="0067694E">
        <w:rPr>
          <w:b/>
          <w:sz w:val="32"/>
          <w:szCs w:val="32"/>
          <w:lang w:val="sr-Latn-RS"/>
        </w:rPr>
        <w:t xml:space="preserve">se održava </w:t>
      </w:r>
      <w:r w:rsidR="0067694E" w:rsidRPr="0067694E">
        <w:rPr>
          <w:b/>
          <w:sz w:val="32"/>
          <w:szCs w:val="32"/>
          <w:lang w:val="sr-Latn-RS"/>
        </w:rPr>
        <w:t xml:space="preserve">u </w:t>
      </w:r>
      <w:r w:rsidRPr="0067694E">
        <w:rPr>
          <w:b/>
          <w:sz w:val="32"/>
          <w:szCs w:val="32"/>
          <w:lang w:val="sr-Latn-RS"/>
        </w:rPr>
        <w:t>februar</w:t>
      </w:r>
      <w:r w:rsidR="0067694E" w:rsidRPr="0067694E">
        <w:rPr>
          <w:b/>
          <w:sz w:val="32"/>
          <w:szCs w:val="32"/>
          <w:lang w:val="sr-Latn-RS"/>
        </w:rPr>
        <w:t>u</w:t>
      </w:r>
      <w:r w:rsidRPr="0067694E">
        <w:rPr>
          <w:b/>
          <w:sz w:val="32"/>
          <w:szCs w:val="32"/>
          <w:lang w:val="sr-Latn-RS"/>
        </w:rPr>
        <w:t xml:space="preserve"> 2022. godine</w:t>
      </w:r>
      <w:r w:rsidRPr="00790395">
        <w:rPr>
          <w:b/>
          <w:sz w:val="32"/>
          <w:szCs w:val="32"/>
          <w:lang w:val="sr-Latn-RS"/>
        </w:rPr>
        <w:t xml:space="preserve"> </w:t>
      </w:r>
    </w:p>
    <w:p w14:paraId="2AFC451A" w14:textId="77777777" w:rsidR="009B3885" w:rsidRPr="00790395" w:rsidRDefault="009B3885" w:rsidP="00627234">
      <w:pPr>
        <w:spacing w:before="100" w:beforeAutospacing="1" w:after="100" w:afterAutospacing="1" w:line="240" w:lineRule="auto"/>
        <w:jc w:val="center"/>
        <w:rPr>
          <w:b/>
          <w:sz w:val="32"/>
          <w:szCs w:val="32"/>
          <w:lang w:val="sr-Latn-RS"/>
        </w:rPr>
      </w:pPr>
    </w:p>
    <w:p w14:paraId="2AF3BD1B" w14:textId="77777777" w:rsidR="009B3885" w:rsidRPr="00790395" w:rsidRDefault="009B3885" w:rsidP="00627234">
      <w:pPr>
        <w:spacing w:before="100" w:beforeAutospacing="1" w:after="100" w:afterAutospacing="1" w:line="240" w:lineRule="auto"/>
        <w:jc w:val="center"/>
        <w:rPr>
          <w:b/>
          <w:sz w:val="24"/>
          <w:szCs w:val="24"/>
          <w:lang w:val="sr-Latn-RS"/>
        </w:rPr>
      </w:pPr>
    </w:p>
    <w:p w14:paraId="63AA734C" w14:textId="77777777" w:rsidR="009B3885" w:rsidRPr="00790395" w:rsidRDefault="009B3885" w:rsidP="00627234">
      <w:pPr>
        <w:spacing w:before="100" w:beforeAutospacing="1" w:after="100" w:afterAutospacing="1" w:line="240" w:lineRule="auto"/>
        <w:jc w:val="center"/>
        <w:rPr>
          <w:b/>
          <w:sz w:val="24"/>
          <w:szCs w:val="24"/>
          <w:lang w:val="sr-Latn-RS"/>
        </w:rPr>
      </w:pPr>
    </w:p>
    <w:p w14:paraId="1D16172F" w14:textId="77777777" w:rsidR="009B3885" w:rsidRPr="00790395" w:rsidRDefault="009B3885" w:rsidP="00627234">
      <w:pPr>
        <w:spacing w:before="100" w:beforeAutospacing="1" w:after="100" w:afterAutospacing="1" w:line="240" w:lineRule="auto"/>
        <w:jc w:val="center"/>
        <w:rPr>
          <w:b/>
          <w:sz w:val="24"/>
          <w:szCs w:val="24"/>
          <w:lang w:val="sr-Latn-RS"/>
        </w:rPr>
      </w:pPr>
    </w:p>
    <w:p w14:paraId="7384211D" w14:textId="0F2F9464" w:rsidR="009B3885" w:rsidRPr="00790395" w:rsidRDefault="008266A4" w:rsidP="00627234">
      <w:pPr>
        <w:spacing w:before="100" w:beforeAutospacing="1" w:after="100" w:afterAutospacing="1" w:line="240" w:lineRule="auto"/>
        <w:jc w:val="center"/>
        <w:rPr>
          <w:b/>
          <w:sz w:val="24"/>
          <w:szCs w:val="24"/>
          <w:lang w:val="sr-Latn-RS"/>
        </w:rPr>
      </w:pPr>
      <w:r w:rsidRPr="00790395">
        <w:rPr>
          <w:b/>
          <w:sz w:val="24"/>
          <w:szCs w:val="24"/>
          <w:lang w:val="sr-Latn-RS"/>
        </w:rPr>
        <w:t>Podnosioci</w:t>
      </w:r>
    </w:p>
    <w:p w14:paraId="2EF75AD5" w14:textId="77777777" w:rsidR="009B3885" w:rsidRPr="00790395" w:rsidRDefault="009B3885" w:rsidP="00627234">
      <w:pPr>
        <w:spacing w:before="100" w:beforeAutospacing="1" w:after="100" w:afterAutospacing="1" w:line="240" w:lineRule="auto"/>
        <w:jc w:val="center"/>
        <w:rPr>
          <w:b/>
          <w:sz w:val="24"/>
          <w:szCs w:val="24"/>
          <w:lang w:val="sr-Latn-RS"/>
        </w:rPr>
      </w:pPr>
    </w:p>
    <w:p w14:paraId="62647C9C" w14:textId="77777777" w:rsidR="009B3885" w:rsidRPr="00790395" w:rsidRDefault="009B3885" w:rsidP="00627234">
      <w:pPr>
        <w:spacing w:before="100" w:beforeAutospacing="1" w:after="100" w:afterAutospacing="1" w:line="240" w:lineRule="auto"/>
        <w:jc w:val="center"/>
        <w:rPr>
          <w:b/>
          <w:sz w:val="24"/>
          <w:szCs w:val="24"/>
          <w:lang w:val="sr-Latn-RS"/>
        </w:rPr>
      </w:pPr>
    </w:p>
    <w:p w14:paraId="440D67B4" w14:textId="01A7DB24" w:rsidR="009B3885" w:rsidRPr="00790395" w:rsidRDefault="008266A4" w:rsidP="00627234">
      <w:pPr>
        <w:spacing w:before="100" w:beforeAutospacing="1" w:after="100" w:afterAutospacing="1" w:line="240" w:lineRule="auto"/>
        <w:jc w:val="center"/>
        <w:rPr>
          <w:b/>
          <w:sz w:val="24"/>
          <w:szCs w:val="24"/>
          <w:lang w:val="sr-Latn-RS"/>
        </w:rPr>
      </w:pPr>
      <w:r w:rsidRPr="00790395">
        <w:rPr>
          <w:b/>
          <w:sz w:val="24"/>
          <w:szCs w:val="24"/>
          <w:lang w:val="sr-Latn-RS"/>
        </w:rPr>
        <w:t>Centar za ekonomska</w:t>
      </w:r>
      <w:r w:rsidR="002C0A38">
        <w:rPr>
          <w:b/>
          <w:sz w:val="24"/>
          <w:szCs w:val="24"/>
          <w:lang w:val="sr-Latn-RS"/>
        </w:rPr>
        <w:t xml:space="preserve"> i </w:t>
      </w:r>
      <w:r w:rsidRPr="00790395">
        <w:rPr>
          <w:b/>
          <w:sz w:val="24"/>
          <w:szCs w:val="24"/>
          <w:lang w:val="sr-Latn-RS"/>
        </w:rPr>
        <w:t>socijalna prava</w:t>
      </w:r>
    </w:p>
    <w:p w14:paraId="515047F8" w14:textId="40FDAA65" w:rsidR="009B3885" w:rsidRPr="00790395" w:rsidRDefault="008C0DA0" w:rsidP="00627234">
      <w:pPr>
        <w:spacing w:before="100" w:beforeAutospacing="1" w:after="100" w:afterAutospacing="1" w:line="240" w:lineRule="auto"/>
        <w:jc w:val="center"/>
        <w:rPr>
          <w:b/>
          <w:sz w:val="24"/>
          <w:szCs w:val="24"/>
          <w:lang w:val="sr-Latn-RS"/>
        </w:rPr>
      </w:pPr>
      <w:r w:rsidRPr="00790395">
        <w:rPr>
          <w:b/>
          <w:sz w:val="24"/>
          <w:szCs w:val="24"/>
          <w:lang w:val="sr-Latn-RS"/>
        </w:rPr>
        <w:t xml:space="preserve">A 11 – </w:t>
      </w:r>
      <w:r w:rsidR="008266A4" w:rsidRPr="00790395">
        <w:rPr>
          <w:b/>
          <w:sz w:val="24"/>
          <w:szCs w:val="24"/>
          <w:lang w:val="sr-Latn-RS"/>
        </w:rPr>
        <w:t>Inicijativa za ekonomska</w:t>
      </w:r>
      <w:r w:rsidR="002C0A38">
        <w:rPr>
          <w:b/>
          <w:sz w:val="24"/>
          <w:szCs w:val="24"/>
          <w:lang w:val="sr-Latn-RS"/>
        </w:rPr>
        <w:t xml:space="preserve"> i </w:t>
      </w:r>
      <w:r w:rsidR="008266A4" w:rsidRPr="00790395">
        <w:rPr>
          <w:b/>
          <w:sz w:val="24"/>
          <w:szCs w:val="24"/>
          <w:lang w:val="sr-Latn-RS"/>
        </w:rPr>
        <w:t>socijalna prava</w:t>
      </w:r>
      <w:r w:rsidRPr="00790395">
        <w:rPr>
          <w:b/>
          <w:sz w:val="24"/>
          <w:szCs w:val="24"/>
          <w:lang w:val="sr-Latn-RS"/>
        </w:rPr>
        <w:t xml:space="preserve"> </w:t>
      </w:r>
    </w:p>
    <w:p w14:paraId="0FE5DE4C" w14:textId="77777777" w:rsidR="009B3885" w:rsidRPr="00790395" w:rsidRDefault="009B3885" w:rsidP="00627234">
      <w:pPr>
        <w:spacing w:before="100" w:beforeAutospacing="1" w:after="100" w:afterAutospacing="1" w:line="240" w:lineRule="auto"/>
        <w:jc w:val="center"/>
        <w:rPr>
          <w:b/>
          <w:sz w:val="24"/>
          <w:szCs w:val="24"/>
          <w:lang w:val="sr-Latn-RS"/>
        </w:rPr>
      </w:pPr>
    </w:p>
    <w:p w14:paraId="008DBDFD" w14:textId="77777777" w:rsidR="009B3885" w:rsidRPr="00790395" w:rsidRDefault="009B3885" w:rsidP="00627234">
      <w:pPr>
        <w:spacing w:before="100" w:beforeAutospacing="1" w:after="100" w:afterAutospacing="1" w:line="240" w:lineRule="auto"/>
        <w:jc w:val="center"/>
        <w:rPr>
          <w:b/>
          <w:sz w:val="24"/>
          <w:szCs w:val="24"/>
          <w:lang w:val="sr-Latn-RS"/>
        </w:rPr>
      </w:pPr>
    </w:p>
    <w:p w14:paraId="58BE451C" w14:textId="77777777" w:rsidR="009B3885" w:rsidRPr="00790395" w:rsidRDefault="009B3885" w:rsidP="00627234">
      <w:pPr>
        <w:spacing w:before="100" w:beforeAutospacing="1" w:after="100" w:afterAutospacing="1" w:line="240" w:lineRule="auto"/>
        <w:jc w:val="center"/>
        <w:rPr>
          <w:b/>
          <w:sz w:val="24"/>
          <w:szCs w:val="24"/>
          <w:lang w:val="sr-Latn-RS"/>
        </w:rPr>
      </w:pPr>
    </w:p>
    <w:p w14:paraId="166E37D7" w14:textId="34D61D3B" w:rsidR="009B3885" w:rsidRPr="00790395" w:rsidRDefault="008266A4" w:rsidP="00D06744">
      <w:pPr>
        <w:spacing w:before="100" w:beforeAutospacing="1" w:after="100" w:afterAutospacing="1" w:line="240" w:lineRule="auto"/>
        <w:jc w:val="center"/>
        <w:rPr>
          <w:b/>
          <w:sz w:val="24"/>
          <w:szCs w:val="24"/>
          <w:lang w:val="sr-Latn-RS"/>
        </w:rPr>
      </w:pPr>
      <w:r w:rsidRPr="00790395">
        <w:rPr>
          <w:b/>
          <w:sz w:val="24"/>
          <w:szCs w:val="24"/>
          <w:lang w:val="sr-Latn-RS"/>
        </w:rPr>
        <w:t>Januar</w:t>
      </w:r>
      <w:r w:rsidR="008C0DA0" w:rsidRPr="00790395">
        <w:rPr>
          <w:b/>
          <w:sz w:val="24"/>
          <w:szCs w:val="24"/>
          <w:lang w:val="sr-Latn-RS"/>
        </w:rPr>
        <w:t xml:space="preserve"> 2022</w:t>
      </w:r>
      <w:r w:rsidRPr="00790395">
        <w:rPr>
          <w:b/>
          <w:sz w:val="24"/>
          <w:szCs w:val="24"/>
          <w:lang w:val="sr-Latn-RS"/>
        </w:rPr>
        <w:t>. godine</w:t>
      </w:r>
    </w:p>
    <w:sdt>
      <w:sdtPr>
        <w:rPr>
          <w:rFonts w:ascii="Calibri" w:eastAsia="Calibri" w:hAnsi="Calibri" w:cs="Calibri"/>
          <w:b/>
          <w:bCs/>
          <w:color w:val="auto"/>
          <w:sz w:val="22"/>
          <w:szCs w:val="22"/>
          <w:lang w:val="sr-Latn-RS" w:eastAsia="sr-Latn-RS"/>
        </w:rPr>
        <w:id w:val="1703747628"/>
        <w:docPartObj>
          <w:docPartGallery w:val="Table of Contents"/>
          <w:docPartUnique/>
        </w:docPartObj>
      </w:sdtPr>
      <w:sdtEndPr>
        <w:rPr>
          <w:noProof/>
        </w:rPr>
      </w:sdtEndPr>
      <w:sdtContent>
        <w:p w14:paraId="1D60EAEE" w14:textId="2E28D238" w:rsidR="002C67B3" w:rsidRPr="00790395" w:rsidRDefault="008266A4" w:rsidP="00627234">
          <w:pPr>
            <w:pStyle w:val="TOCHeading"/>
            <w:spacing w:before="100" w:beforeAutospacing="1" w:after="100" w:afterAutospacing="1" w:line="240" w:lineRule="auto"/>
            <w:rPr>
              <w:b/>
              <w:bCs/>
              <w:color w:val="auto"/>
              <w:lang w:val="sr-Latn-RS"/>
            </w:rPr>
          </w:pPr>
          <w:r w:rsidRPr="00790395">
            <w:rPr>
              <w:b/>
              <w:bCs/>
              <w:color w:val="auto"/>
              <w:lang w:val="sr-Latn-RS"/>
            </w:rPr>
            <w:t>SADRŽAJ</w:t>
          </w:r>
        </w:p>
        <w:p w14:paraId="2A216C4D" w14:textId="74679DE4" w:rsidR="002C67B3" w:rsidRPr="00790395" w:rsidRDefault="002C67B3" w:rsidP="00627234">
          <w:pPr>
            <w:pStyle w:val="TOC1"/>
            <w:tabs>
              <w:tab w:val="right" w:leader="dot" w:pos="9016"/>
            </w:tabs>
            <w:spacing w:before="100" w:beforeAutospacing="1" w:afterAutospacing="1" w:line="240" w:lineRule="auto"/>
            <w:rPr>
              <w:rFonts w:asciiTheme="minorHAnsi" w:eastAsiaTheme="minorEastAsia" w:hAnsiTheme="minorHAnsi" w:cstheme="minorBidi"/>
              <w:noProof/>
              <w:lang w:val="sr-Latn-RS"/>
            </w:rPr>
          </w:pPr>
          <w:r w:rsidRPr="00790395">
            <w:rPr>
              <w:lang w:val="sr-Latn-RS"/>
            </w:rPr>
            <w:fldChar w:fldCharType="begin"/>
          </w:r>
          <w:r w:rsidRPr="00790395">
            <w:rPr>
              <w:lang w:val="sr-Latn-RS"/>
            </w:rPr>
            <w:instrText xml:space="preserve"> TOC \o "1-3" \h \z \u </w:instrText>
          </w:r>
          <w:r w:rsidRPr="00790395">
            <w:rPr>
              <w:lang w:val="sr-Latn-RS"/>
            </w:rPr>
            <w:fldChar w:fldCharType="separate"/>
          </w:r>
          <w:hyperlink w:anchor="_Toc93689877" w:history="1">
            <w:r w:rsidR="008266A4" w:rsidRPr="00790395">
              <w:rPr>
                <w:rStyle w:val="Hyperlink"/>
                <w:b/>
                <w:noProof/>
                <w:lang w:val="sr-Latn-RS"/>
              </w:rPr>
              <w:t>Uvod</w:t>
            </w:r>
            <w:r w:rsidRPr="00790395">
              <w:rPr>
                <w:noProof/>
                <w:webHidden/>
                <w:lang w:val="sr-Latn-RS"/>
              </w:rPr>
              <w:tab/>
            </w:r>
            <w:r w:rsidRPr="00790395">
              <w:rPr>
                <w:noProof/>
                <w:webHidden/>
                <w:lang w:val="sr-Latn-RS"/>
              </w:rPr>
              <w:fldChar w:fldCharType="begin"/>
            </w:r>
            <w:r w:rsidRPr="00790395">
              <w:rPr>
                <w:noProof/>
                <w:webHidden/>
                <w:lang w:val="sr-Latn-RS"/>
              </w:rPr>
              <w:instrText xml:space="preserve"> PAGEREF _Toc93689877 \h </w:instrText>
            </w:r>
            <w:r w:rsidRPr="00790395">
              <w:rPr>
                <w:noProof/>
                <w:webHidden/>
                <w:lang w:val="sr-Latn-RS"/>
              </w:rPr>
            </w:r>
            <w:r w:rsidRPr="00790395">
              <w:rPr>
                <w:noProof/>
                <w:webHidden/>
                <w:lang w:val="sr-Latn-RS"/>
              </w:rPr>
              <w:fldChar w:fldCharType="separate"/>
            </w:r>
            <w:r w:rsidR="00D06744" w:rsidRPr="00790395">
              <w:rPr>
                <w:noProof/>
                <w:webHidden/>
                <w:lang w:val="sr-Latn-RS"/>
              </w:rPr>
              <w:t>1</w:t>
            </w:r>
            <w:r w:rsidRPr="00790395">
              <w:rPr>
                <w:noProof/>
                <w:webHidden/>
                <w:lang w:val="sr-Latn-RS"/>
              </w:rPr>
              <w:fldChar w:fldCharType="end"/>
            </w:r>
          </w:hyperlink>
        </w:p>
        <w:p w14:paraId="5F449685" w14:textId="4946ECD3" w:rsidR="002C67B3" w:rsidRPr="00790395" w:rsidRDefault="008266A4" w:rsidP="00627234">
          <w:pPr>
            <w:pStyle w:val="TOC1"/>
            <w:tabs>
              <w:tab w:val="right" w:leader="dot" w:pos="9016"/>
            </w:tabs>
            <w:spacing w:before="100" w:beforeAutospacing="1" w:afterAutospacing="1" w:line="240" w:lineRule="auto"/>
            <w:rPr>
              <w:rFonts w:asciiTheme="minorHAnsi" w:eastAsiaTheme="minorEastAsia" w:hAnsiTheme="minorHAnsi" w:cstheme="minorBidi"/>
              <w:noProof/>
              <w:lang w:val="sr-Latn-RS"/>
            </w:rPr>
          </w:pPr>
          <w:r w:rsidRPr="00790395">
            <w:rPr>
              <w:b/>
              <w:bCs/>
              <w:lang w:val="sr-Latn-RS"/>
            </w:rPr>
            <w:t>Opšti okvir za zaštitu</w:t>
          </w:r>
          <w:r w:rsidR="002C0A38">
            <w:rPr>
              <w:b/>
              <w:bCs/>
              <w:lang w:val="sr-Latn-RS"/>
            </w:rPr>
            <w:t xml:space="preserve"> i </w:t>
          </w:r>
          <w:r w:rsidRPr="00790395">
            <w:rPr>
              <w:b/>
              <w:bCs/>
              <w:lang w:val="sr-Latn-RS"/>
            </w:rPr>
            <w:t>unapređenje ekonomskih, socijalnih</w:t>
          </w:r>
          <w:r w:rsidR="002C0A38">
            <w:rPr>
              <w:b/>
              <w:bCs/>
              <w:lang w:val="sr-Latn-RS"/>
            </w:rPr>
            <w:t xml:space="preserve"> i </w:t>
          </w:r>
          <w:r w:rsidRPr="00790395">
            <w:rPr>
              <w:b/>
              <w:bCs/>
              <w:lang w:val="sr-Latn-RS"/>
            </w:rPr>
            <w:t>kulturnih prava</w:t>
          </w:r>
          <w:hyperlink w:anchor="_Toc93689878" w:history="1">
            <w:r w:rsidR="002C67B3" w:rsidRPr="00790395">
              <w:rPr>
                <w:noProof/>
                <w:webHidden/>
                <w:lang w:val="sr-Latn-RS"/>
              </w:rPr>
              <w:tab/>
            </w:r>
            <w:r w:rsidR="002C67B3" w:rsidRPr="00790395">
              <w:rPr>
                <w:noProof/>
                <w:webHidden/>
                <w:lang w:val="sr-Latn-RS"/>
              </w:rPr>
              <w:fldChar w:fldCharType="begin"/>
            </w:r>
            <w:r w:rsidR="002C67B3" w:rsidRPr="00790395">
              <w:rPr>
                <w:noProof/>
                <w:webHidden/>
                <w:lang w:val="sr-Latn-RS"/>
              </w:rPr>
              <w:instrText xml:space="preserve"> PAGEREF _Toc93689878 \h </w:instrText>
            </w:r>
            <w:r w:rsidR="002C67B3" w:rsidRPr="00790395">
              <w:rPr>
                <w:noProof/>
                <w:webHidden/>
                <w:lang w:val="sr-Latn-RS"/>
              </w:rPr>
            </w:r>
            <w:r w:rsidR="002C67B3" w:rsidRPr="00790395">
              <w:rPr>
                <w:noProof/>
                <w:webHidden/>
                <w:lang w:val="sr-Latn-RS"/>
              </w:rPr>
              <w:fldChar w:fldCharType="separate"/>
            </w:r>
            <w:r w:rsidR="00D06744" w:rsidRPr="00790395">
              <w:rPr>
                <w:noProof/>
                <w:webHidden/>
                <w:lang w:val="sr-Latn-RS"/>
              </w:rPr>
              <w:t>2</w:t>
            </w:r>
            <w:r w:rsidR="002C67B3" w:rsidRPr="00790395">
              <w:rPr>
                <w:noProof/>
                <w:webHidden/>
                <w:lang w:val="sr-Latn-RS"/>
              </w:rPr>
              <w:fldChar w:fldCharType="end"/>
            </w:r>
          </w:hyperlink>
        </w:p>
        <w:p w14:paraId="654F5045" w14:textId="7EDE25A6" w:rsidR="002C67B3" w:rsidRPr="00790395" w:rsidRDefault="00691620" w:rsidP="00627234">
          <w:pPr>
            <w:pStyle w:val="TOC2"/>
            <w:tabs>
              <w:tab w:val="right" w:leader="dot" w:pos="9016"/>
            </w:tabs>
            <w:spacing w:before="100" w:beforeAutospacing="1" w:afterAutospacing="1" w:line="240" w:lineRule="auto"/>
            <w:rPr>
              <w:noProof/>
              <w:lang w:val="sr-Latn-RS"/>
            </w:rPr>
          </w:pPr>
          <w:hyperlink w:anchor="_Toc93689879" w:history="1">
            <w:r w:rsidR="008266A4" w:rsidRPr="00790395">
              <w:rPr>
                <w:rStyle w:val="Hyperlink"/>
                <w:bCs/>
                <w:noProof/>
                <w:lang w:val="sr-Latn-RS"/>
              </w:rPr>
              <w:t>Uvođenje mera štednje 2014. godine</w:t>
            </w:r>
            <w:r w:rsidR="002C67B3" w:rsidRPr="00790395">
              <w:rPr>
                <w:noProof/>
                <w:webHidden/>
                <w:lang w:val="sr-Latn-RS"/>
              </w:rPr>
              <w:tab/>
            </w:r>
            <w:r w:rsidR="002C67B3" w:rsidRPr="00790395">
              <w:rPr>
                <w:noProof/>
                <w:webHidden/>
                <w:lang w:val="sr-Latn-RS"/>
              </w:rPr>
              <w:fldChar w:fldCharType="begin"/>
            </w:r>
            <w:r w:rsidR="002C67B3" w:rsidRPr="00790395">
              <w:rPr>
                <w:noProof/>
                <w:webHidden/>
                <w:lang w:val="sr-Latn-RS"/>
              </w:rPr>
              <w:instrText xml:space="preserve"> PAGEREF _Toc93689879 \h </w:instrText>
            </w:r>
            <w:r w:rsidR="002C67B3" w:rsidRPr="00790395">
              <w:rPr>
                <w:noProof/>
                <w:webHidden/>
                <w:lang w:val="sr-Latn-RS"/>
              </w:rPr>
            </w:r>
            <w:r w:rsidR="002C67B3" w:rsidRPr="00790395">
              <w:rPr>
                <w:noProof/>
                <w:webHidden/>
                <w:lang w:val="sr-Latn-RS"/>
              </w:rPr>
              <w:fldChar w:fldCharType="separate"/>
            </w:r>
            <w:r w:rsidR="00D06744" w:rsidRPr="00790395">
              <w:rPr>
                <w:noProof/>
                <w:webHidden/>
                <w:lang w:val="sr-Latn-RS"/>
              </w:rPr>
              <w:t>2</w:t>
            </w:r>
            <w:r w:rsidR="002C67B3" w:rsidRPr="00790395">
              <w:rPr>
                <w:noProof/>
                <w:webHidden/>
                <w:lang w:val="sr-Latn-RS"/>
              </w:rPr>
              <w:fldChar w:fldCharType="end"/>
            </w:r>
          </w:hyperlink>
        </w:p>
        <w:p w14:paraId="2EC74CBF" w14:textId="0C396080" w:rsidR="002C67B3" w:rsidRPr="00790395" w:rsidRDefault="00691620" w:rsidP="00627234">
          <w:pPr>
            <w:pStyle w:val="TOC2"/>
            <w:tabs>
              <w:tab w:val="right" w:leader="dot" w:pos="9016"/>
            </w:tabs>
            <w:spacing w:before="100" w:beforeAutospacing="1" w:afterAutospacing="1" w:line="240" w:lineRule="auto"/>
            <w:rPr>
              <w:noProof/>
              <w:lang w:val="sr-Latn-RS"/>
            </w:rPr>
          </w:pPr>
          <w:hyperlink w:anchor="_Toc93689880" w:history="1">
            <w:r w:rsidR="00663123" w:rsidRPr="00790395">
              <w:rPr>
                <w:rStyle w:val="Hyperlink"/>
                <w:bCs/>
                <w:noProof/>
                <w:lang w:val="sr-Latn-RS"/>
              </w:rPr>
              <w:t>Smanjenje javnih investicija</w:t>
            </w:r>
            <w:r w:rsidR="008266A4" w:rsidRPr="00790395">
              <w:rPr>
                <w:rStyle w:val="Hyperlink"/>
                <w:bCs/>
                <w:noProof/>
                <w:lang w:val="sr-Latn-RS"/>
              </w:rPr>
              <w:t xml:space="preserve"> u ekonomska</w:t>
            </w:r>
            <w:r w:rsidR="002C0A38">
              <w:rPr>
                <w:rStyle w:val="Hyperlink"/>
                <w:bCs/>
                <w:noProof/>
                <w:lang w:val="sr-Latn-RS"/>
              </w:rPr>
              <w:t xml:space="preserve"> i </w:t>
            </w:r>
            <w:r w:rsidR="008266A4" w:rsidRPr="00790395">
              <w:rPr>
                <w:rStyle w:val="Hyperlink"/>
                <w:bCs/>
                <w:noProof/>
                <w:lang w:val="sr-Latn-RS"/>
              </w:rPr>
              <w:t>socijalna prava</w:t>
            </w:r>
            <w:r w:rsidR="002C67B3" w:rsidRPr="00790395">
              <w:rPr>
                <w:noProof/>
                <w:webHidden/>
                <w:lang w:val="sr-Latn-RS"/>
              </w:rPr>
              <w:tab/>
            </w:r>
            <w:r w:rsidR="002C67B3" w:rsidRPr="00790395">
              <w:rPr>
                <w:noProof/>
                <w:webHidden/>
                <w:lang w:val="sr-Latn-RS"/>
              </w:rPr>
              <w:fldChar w:fldCharType="begin"/>
            </w:r>
            <w:r w:rsidR="002C67B3" w:rsidRPr="00790395">
              <w:rPr>
                <w:noProof/>
                <w:webHidden/>
                <w:lang w:val="sr-Latn-RS"/>
              </w:rPr>
              <w:instrText xml:space="preserve"> PAGEREF _Toc93689880 \h </w:instrText>
            </w:r>
            <w:r w:rsidR="002C67B3" w:rsidRPr="00790395">
              <w:rPr>
                <w:noProof/>
                <w:webHidden/>
                <w:lang w:val="sr-Latn-RS"/>
              </w:rPr>
            </w:r>
            <w:r w:rsidR="002C67B3" w:rsidRPr="00790395">
              <w:rPr>
                <w:noProof/>
                <w:webHidden/>
                <w:lang w:val="sr-Latn-RS"/>
              </w:rPr>
              <w:fldChar w:fldCharType="separate"/>
            </w:r>
            <w:r w:rsidR="00D06744" w:rsidRPr="00790395">
              <w:rPr>
                <w:noProof/>
                <w:webHidden/>
                <w:lang w:val="sr-Latn-RS"/>
              </w:rPr>
              <w:t>6</w:t>
            </w:r>
            <w:r w:rsidR="002C67B3" w:rsidRPr="00790395">
              <w:rPr>
                <w:noProof/>
                <w:webHidden/>
                <w:lang w:val="sr-Latn-RS"/>
              </w:rPr>
              <w:fldChar w:fldCharType="end"/>
            </w:r>
          </w:hyperlink>
        </w:p>
        <w:p w14:paraId="2ED80185" w14:textId="4904C3DE" w:rsidR="002C67B3" w:rsidRPr="00790395" w:rsidRDefault="00691620" w:rsidP="00627234">
          <w:pPr>
            <w:pStyle w:val="TOC1"/>
            <w:tabs>
              <w:tab w:val="right" w:leader="dot" w:pos="9016"/>
            </w:tabs>
            <w:spacing w:before="100" w:beforeAutospacing="1" w:afterAutospacing="1" w:line="240" w:lineRule="auto"/>
            <w:rPr>
              <w:rFonts w:asciiTheme="minorHAnsi" w:eastAsiaTheme="minorEastAsia" w:hAnsiTheme="minorHAnsi" w:cstheme="minorBidi"/>
              <w:noProof/>
              <w:lang w:val="sr-Latn-RS"/>
            </w:rPr>
          </w:pPr>
          <w:hyperlink w:anchor="_Toc93689881" w:history="1">
            <w:r w:rsidR="00663123" w:rsidRPr="00790395">
              <w:rPr>
                <w:rStyle w:val="Hyperlink"/>
                <w:rFonts w:cstheme="minorHAnsi"/>
                <w:b/>
                <w:bCs/>
                <w:noProof/>
                <w:lang w:val="sr-Latn-RS"/>
              </w:rPr>
              <w:t>Pravo na socijalnu zaštitu</w:t>
            </w:r>
            <w:r w:rsidR="002C0A38">
              <w:rPr>
                <w:rStyle w:val="Hyperlink"/>
                <w:rFonts w:cstheme="minorHAnsi"/>
                <w:b/>
                <w:bCs/>
                <w:noProof/>
                <w:lang w:val="sr-Latn-RS"/>
              </w:rPr>
              <w:t xml:space="preserve"> i </w:t>
            </w:r>
            <w:r w:rsidR="00663123" w:rsidRPr="00790395">
              <w:rPr>
                <w:rStyle w:val="Hyperlink"/>
                <w:rFonts w:cstheme="minorHAnsi"/>
                <w:b/>
                <w:bCs/>
                <w:noProof/>
                <w:lang w:val="sr-Latn-RS"/>
              </w:rPr>
              <w:t>adekvatan životni standard</w:t>
            </w:r>
            <w:r w:rsidR="002C67B3" w:rsidRPr="00790395">
              <w:rPr>
                <w:noProof/>
                <w:webHidden/>
                <w:lang w:val="sr-Latn-RS"/>
              </w:rPr>
              <w:tab/>
            </w:r>
            <w:r w:rsidR="002C67B3" w:rsidRPr="00790395">
              <w:rPr>
                <w:noProof/>
                <w:webHidden/>
                <w:lang w:val="sr-Latn-RS"/>
              </w:rPr>
              <w:fldChar w:fldCharType="begin"/>
            </w:r>
            <w:r w:rsidR="002C67B3" w:rsidRPr="00790395">
              <w:rPr>
                <w:noProof/>
                <w:webHidden/>
                <w:lang w:val="sr-Latn-RS"/>
              </w:rPr>
              <w:instrText xml:space="preserve"> PAGEREF _Toc93689881 \h </w:instrText>
            </w:r>
            <w:r w:rsidR="002C67B3" w:rsidRPr="00790395">
              <w:rPr>
                <w:noProof/>
                <w:webHidden/>
                <w:lang w:val="sr-Latn-RS"/>
              </w:rPr>
            </w:r>
            <w:r w:rsidR="002C67B3" w:rsidRPr="00790395">
              <w:rPr>
                <w:noProof/>
                <w:webHidden/>
                <w:lang w:val="sr-Latn-RS"/>
              </w:rPr>
              <w:fldChar w:fldCharType="separate"/>
            </w:r>
            <w:r w:rsidR="00D06744" w:rsidRPr="00790395">
              <w:rPr>
                <w:noProof/>
                <w:webHidden/>
                <w:lang w:val="sr-Latn-RS"/>
              </w:rPr>
              <w:t>8</w:t>
            </w:r>
            <w:r w:rsidR="002C67B3" w:rsidRPr="00790395">
              <w:rPr>
                <w:noProof/>
                <w:webHidden/>
                <w:lang w:val="sr-Latn-RS"/>
              </w:rPr>
              <w:fldChar w:fldCharType="end"/>
            </w:r>
          </w:hyperlink>
        </w:p>
        <w:p w14:paraId="2FBF25C2" w14:textId="6B46F53B" w:rsidR="002C67B3" w:rsidRPr="00790395" w:rsidRDefault="00691620" w:rsidP="00627234">
          <w:pPr>
            <w:pStyle w:val="TOC2"/>
            <w:tabs>
              <w:tab w:val="right" w:leader="dot" w:pos="9016"/>
            </w:tabs>
            <w:spacing w:before="100" w:beforeAutospacing="1" w:afterAutospacing="1" w:line="240" w:lineRule="auto"/>
            <w:rPr>
              <w:noProof/>
              <w:lang w:val="sr-Latn-RS"/>
            </w:rPr>
          </w:pPr>
          <w:hyperlink w:anchor="_Toc93689882" w:history="1">
            <w:r w:rsidR="00663123" w:rsidRPr="00790395">
              <w:rPr>
                <w:rStyle w:val="Hyperlink"/>
                <w:bCs/>
                <w:noProof/>
                <w:lang w:val="sr-Latn-RS"/>
              </w:rPr>
              <w:t>Nedovoljni iznosi socijalnih davanja</w:t>
            </w:r>
            <w:r w:rsidR="002C67B3" w:rsidRPr="00790395">
              <w:rPr>
                <w:noProof/>
                <w:webHidden/>
                <w:lang w:val="sr-Latn-RS"/>
              </w:rPr>
              <w:tab/>
            </w:r>
            <w:r w:rsidR="002C67B3" w:rsidRPr="00790395">
              <w:rPr>
                <w:noProof/>
                <w:webHidden/>
                <w:lang w:val="sr-Latn-RS"/>
              </w:rPr>
              <w:fldChar w:fldCharType="begin"/>
            </w:r>
            <w:r w:rsidR="002C67B3" w:rsidRPr="00790395">
              <w:rPr>
                <w:noProof/>
                <w:webHidden/>
                <w:lang w:val="sr-Latn-RS"/>
              </w:rPr>
              <w:instrText xml:space="preserve"> PAGEREF _Toc93689882 \h </w:instrText>
            </w:r>
            <w:r w:rsidR="002C67B3" w:rsidRPr="00790395">
              <w:rPr>
                <w:noProof/>
                <w:webHidden/>
                <w:lang w:val="sr-Latn-RS"/>
              </w:rPr>
            </w:r>
            <w:r w:rsidR="002C67B3" w:rsidRPr="00790395">
              <w:rPr>
                <w:noProof/>
                <w:webHidden/>
                <w:lang w:val="sr-Latn-RS"/>
              </w:rPr>
              <w:fldChar w:fldCharType="separate"/>
            </w:r>
            <w:r w:rsidR="00D06744" w:rsidRPr="00790395">
              <w:rPr>
                <w:noProof/>
                <w:webHidden/>
                <w:lang w:val="sr-Latn-RS"/>
              </w:rPr>
              <w:t>10</w:t>
            </w:r>
            <w:r w:rsidR="002C67B3" w:rsidRPr="00790395">
              <w:rPr>
                <w:noProof/>
                <w:webHidden/>
                <w:lang w:val="sr-Latn-RS"/>
              </w:rPr>
              <w:fldChar w:fldCharType="end"/>
            </w:r>
          </w:hyperlink>
        </w:p>
        <w:p w14:paraId="5318402B" w14:textId="714C3BB4" w:rsidR="002C67B3" w:rsidRPr="00790395" w:rsidRDefault="00663123" w:rsidP="00627234">
          <w:pPr>
            <w:pStyle w:val="TOC1"/>
            <w:tabs>
              <w:tab w:val="right" w:leader="dot" w:pos="9016"/>
            </w:tabs>
            <w:spacing w:before="100" w:beforeAutospacing="1" w:afterAutospacing="1" w:line="240" w:lineRule="auto"/>
            <w:rPr>
              <w:rFonts w:asciiTheme="minorHAnsi" w:eastAsiaTheme="minorEastAsia" w:hAnsiTheme="minorHAnsi" w:cstheme="minorBidi"/>
              <w:noProof/>
              <w:lang w:val="sr-Latn-RS"/>
            </w:rPr>
          </w:pPr>
          <w:r w:rsidRPr="00790395">
            <w:rPr>
              <w:b/>
              <w:bCs/>
              <w:lang w:val="sr-Latn-RS"/>
            </w:rPr>
            <w:t>Mere Vlade za oporavak od</w:t>
          </w:r>
          <w:r w:rsidRPr="00790395">
            <w:rPr>
              <w:lang w:val="sr-Latn-RS"/>
            </w:rPr>
            <w:t xml:space="preserve"> </w:t>
          </w:r>
          <w:hyperlink w:anchor="_Toc93689883" w:history="1">
            <w:r w:rsidR="002C67B3" w:rsidRPr="00790395">
              <w:rPr>
                <w:rStyle w:val="Hyperlink"/>
                <w:b/>
                <w:bCs/>
                <w:noProof/>
                <w:lang w:val="sr-Latn-RS"/>
              </w:rPr>
              <w:t>COVID-19</w:t>
            </w:r>
            <w:r w:rsidR="002C67B3" w:rsidRPr="00790395">
              <w:rPr>
                <w:noProof/>
                <w:webHidden/>
                <w:lang w:val="sr-Latn-RS"/>
              </w:rPr>
              <w:tab/>
            </w:r>
            <w:r w:rsidR="002C67B3" w:rsidRPr="00790395">
              <w:rPr>
                <w:noProof/>
                <w:webHidden/>
                <w:lang w:val="sr-Latn-RS"/>
              </w:rPr>
              <w:fldChar w:fldCharType="begin"/>
            </w:r>
            <w:r w:rsidR="002C67B3" w:rsidRPr="00790395">
              <w:rPr>
                <w:noProof/>
                <w:webHidden/>
                <w:lang w:val="sr-Latn-RS"/>
              </w:rPr>
              <w:instrText xml:space="preserve"> PAGEREF _Toc93689883 \h </w:instrText>
            </w:r>
            <w:r w:rsidR="002C67B3" w:rsidRPr="00790395">
              <w:rPr>
                <w:noProof/>
                <w:webHidden/>
                <w:lang w:val="sr-Latn-RS"/>
              </w:rPr>
            </w:r>
            <w:r w:rsidR="002C67B3" w:rsidRPr="00790395">
              <w:rPr>
                <w:noProof/>
                <w:webHidden/>
                <w:lang w:val="sr-Latn-RS"/>
              </w:rPr>
              <w:fldChar w:fldCharType="separate"/>
            </w:r>
            <w:r w:rsidR="00D06744" w:rsidRPr="00790395">
              <w:rPr>
                <w:noProof/>
                <w:webHidden/>
                <w:lang w:val="sr-Latn-RS"/>
              </w:rPr>
              <w:t>11</w:t>
            </w:r>
            <w:r w:rsidR="002C67B3" w:rsidRPr="00790395">
              <w:rPr>
                <w:noProof/>
                <w:webHidden/>
                <w:lang w:val="sr-Latn-RS"/>
              </w:rPr>
              <w:fldChar w:fldCharType="end"/>
            </w:r>
          </w:hyperlink>
        </w:p>
        <w:p w14:paraId="64629067" w14:textId="295ECA34" w:rsidR="002C67B3" w:rsidRPr="00790395" w:rsidRDefault="00691620" w:rsidP="00627234">
          <w:pPr>
            <w:pStyle w:val="TOC1"/>
            <w:tabs>
              <w:tab w:val="right" w:leader="dot" w:pos="9016"/>
            </w:tabs>
            <w:spacing w:before="100" w:beforeAutospacing="1" w:afterAutospacing="1" w:line="240" w:lineRule="auto"/>
            <w:rPr>
              <w:rFonts w:asciiTheme="minorHAnsi" w:eastAsiaTheme="minorEastAsia" w:hAnsiTheme="minorHAnsi" w:cstheme="minorBidi"/>
              <w:noProof/>
              <w:lang w:val="sr-Latn-RS"/>
            </w:rPr>
          </w:pPr>
          <w:hyperlink w:anchor="_Toc93689884" w:history="1">
            <w:r w:rsidR="00663123" w:rsidRPr="00790395">
              <w:rPr>
                <w:rStyle w:val="Hyperlink"/>
                <w:b/>
                <w:bCs/>
                <w:noProof/>
                <w:lang w:val="sr-Latn-RS"/>
              </w:rPr>
              <w:t>Zaključci</w:t>
            </w:r>
            <w:r w:rsidR="002C0A38">
              <w:rPr>
                <w:rStyle w:val="Hyperlink"/>
                <w:b/>
                <w:bCs/>
                <w:noProof/>
                <w:lang w:val="sr-Latn-RS"/>
              </w:rPr>
              <w:t xml:space="preserve"> i </w:t>
            </w:r>
            <w:r w:rsidR="00663123" w:rsidRPr="00790395">
              <w:rPr>
                <w:rStyle w:val="Hyperlink"/>
                <w:b/>
                <w:bCs/>
                <w:noProof/>
                <w:lang w:val="sr-Latn-RS"/>
              </w:rPr>
              <w:t>preporuke</w:t>
            </w:r>
            <w:r w:rsidR="002C67B3" w:rsidRPr="00790395">
              <w:rPr>
                <w:noProof/>
                <w:webHidden/>
                <w:lang w:val="sr-Latn-RS"/>
              </w:rPr>
              <w:tab/>
            </w:r>
            <w:r w:rsidR="002C67B3" w:rsidRPr="00790395">
              <w:rPr>
                <w:noProof/>
                <w:webHidden/>
                <w:lang w:val="sr-Latn-RS"/>
              </w:rPr>
              <w:fldChar w:fldCharType="begin"/>
            </w:r>
            <w:r w:rsidR="002C67B3" w:rsidRPr="00790395">
              <w:rPr>
                <w:noProof/>
                <w:webHidden/>
                <w:lang w:val="sr-Latn-RS"/>
              </w:rPr>
              <w:instrText xml:space="preserve"> PAGEREF _Toc93689884 \h </w:instrText>
            </w:r>
            <w:r w:rsidR="002C67B3" w:rsidRPr="00790395">
              <w:rPr>
                <w:noProof/>
                <w:webHidden/>
                <w:lang w:val="sr-Latn-RS"/>
              </w:rPr>
            </w:r>
            <w:r w:rsidR="002C67B3" w:rsidRPr="00790395">
              <w:rPr>
                <w:noProof/>
                <w:webHidden/>
                <w:lang w:val="sr-Latn-RS"/>
              </w:rPr>
              <w:fldChar w:fldCharType="separate"/>
            </w:r>
            <w:r w:rsidR="00D06744" w:rsidRPr="00790395">
              <w:rPr>
                <w:noProof/>
                <w:webHidden/>
                <w:lang w:val="sr-Latn-RS"/>
              </w:rPr>
              <w:t>12</w:t>
            </w:r>
            <w:r w:rsidR="002C67B3" w:rsidRPr="00790395">
              <w:rPr>
                <w:noProof/>
                <w:webHidden/>
                <w:lang w:val="sr-Latn-RS"/>
              </w:rPr>
              <w:fldChar w:fldCharType="end"/>
            </w:r>
          </w:hyperlink>
        </w:p>
        <w:p w14:paraId="344AB701" w14:textId="77777777" w:rsidR="002C67B3" w:rsidRPr="00790395" w:rsidRDefault="002C67B3" w:rsidP="00627234">
          <w:pPr>
            <w:spacing w:before="100" w:beforeAutospacing="1" w:after="100" w:afterAutospacing="1" w:line="240" w:lineRule="auto"/>
            <w:rPr>
              <w:lang w:val="sr-Latn-RS"/>
            </w:rPr>
          </w:pPr>
          <w:r w:rsidRPr="00790395">
            <w:rPr>
              <w:b/>
              <w:bCs/>
              <w:noProof/>
              <w:lang w:val="sr-Latn-RS"/>
            </w:rPr>
            <w:fldChar w:fldCharType="end"/>
          </w:r>
        </w:p>
      </w:sdtContent>
    </w:sdt>
    <w:p w14:paraId="315B774F" w14:textId="77777777" w:rsidR="00627234" w:rsidRPr="00790395" w:rsidRDefault="00627234" w:rsidP="00627234">
      <w:pPr>
        <w:pStyle w:val="Heading1"/>
        <w:spacing w:before="100" w:beforeAutospacing="1" w:after="100" w:afterAutospacing="1" w:line="240" w:lineRule="auto"/>
        <w:rPr>
          <w:b/>
          <w:color w:val="000000"/>
          <w:sz w:val="28"/>
          <w:szCs w:val="28"/>
          <w:lang w:val="sr-Latn-RS"/>
        </w:rPr>
      </w:pPr>
      <w:bookmarkStart w:id="0" w:name="_Toc93689877"/>
    </w:p>
    <w:bookmarkEnd w:id="0"/>
    <w:p w14:paraId="1CFCD24A" w14:textId="488CA075" w:rsidR="009B3885" w:rsidRPr="00790395" w:rsidRDefault="00663123" w:rsidP="00627234">
      <w:pPr>
        <w:pStyle w:val="Heading1"/>
        <w:spacing w:before="100" w:beforeAutospacing="1" w:after="100" w:afterAutospacing="1" w:line="240" w:lineRule="auto"/>
        <w:rPr>
          <w:b/>
          <w:color w:val="000000"/>
          <w:sz w:val="28"/>
          <w:szCs w:val="28"/>
          <w:lang w:val="sr-Latn-RS"/>
        </w:rPr>
      </w:pPr>
      <w:r w:rsidRPr="00790395">
        <w:rPr>
          <w:b/>
          <w:color w:val="000000"/>
          <w:sz w:val="28"/>
          <w:szCs w:val="28"/>
          <w:lang w:val="sr-Latn-RS"/>
        </w:rPr>
        <w:t>Uvod</w:t>
      </w:r>
    </w:p>
    <w:p w14:paraId="21AD8A0D" w14:textId="3E39DF62" w:rsidR="00663123" w:rsidRPr="0067694E" w:rsidRDefault="00663123" w:rsidP="00627234">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67694E">
        <w:rPr>
          <w:color w:val="000000"/>
          <w:sz w:val="24"/>
          <w:szCs w:val="24"/>
          <w:lang w:val="sr-Latn-RS"/>
        </w:rPr>
        <w:t xml:space="preserve">Ovaj podnesak, </w:t>
      </w:r>
      <w:r w:rsidR="00790395" w:rsidRPr="0067694E">
        <w:rPr>
          <w:color w:val="000000"/>
          <w:sz w:val="24"/>
          <w:szCs w:val="24"/>
          <w:lang w:val="sr-Latn-RS"/>
        </w:rPr>
        <w:t>pripremljen od strane</w:t>
      </w:r>
      <w:r w:rsidRPr="0067694E">
        <w:rPr>
          <w:color w:val="000000"/>
          <w:sz w:val="24"/>
          <w:szCs w:val="24"/>
          <w:lang w:val="sr-Latn-RS"/>
        </w:rPr>
        <w:t xml:space="preserve"> Cent</w:t>
      </w:r>
      <w:r w:rsidR="00A86251" w:rsidRPr="0067694E">
        <w:rPr>
          <w:color w:val="000000"/>
          <w:sz w:val="24"/>
          <w:szCs w:val="24"/>
          <w:lang w:val="sr-Latn-RS"/>
        </w:rPr>
        <w:t>r</w:t>
      </w:r>
      <w:r w:rsidR="00790395" w:rsidRPr="0067694E">
        <w:rPr>
          <w:color w:val="000000"/>
          <w:sz w:val="24"/>
          <w:szCs w:val="24"/>
          <w:lang w:val="sr-Latn-RS"/>
        </w:rPr>
        <w:t xml:space="preserve">a </w:t>
      </w:r>
      <w:r w:rsidRPr="0067694E">
        <w:rPr>
          <w:color w:val="000000"/>
          <w:sz w:val="24"/>
          <w:szCs w:val="24"/>
          <w:lang w:val="sr-Latn-RS"/>
        </w:rPr>
        <w:t>za ekonomska</w:t>
      </w:r>
      <w:r w:rsidR="002C0A38" w:rsidRPr="0067694E">
        <w:rPr>
          <w:color w:val="000000"/>
          <w:sz w:val="24"/>
          <w:szCs w:val="24"/>
          <w:lang w:val="sr-Latn-RS"/>
        </w:rPr>
        <w:t xml:space="preserve"> i </w:t>
      </w:r>
      <w:r w:rsidRPr="0067694E">
        <w:rPr>
          <w:color w:val="000000"/>
          <w:sz w:val="24"/>
          <w:szCs w:val="24"/>
          <w:lang w:val="sr-Latn-RS"/>
        </w:rPr>
        <w:t>socijalna prava (Center for Economic and Social Rights)</w:t>
      </w:r>
      <w:r w:rsidR="002C0A38" w:rsidRPr="0067694E">
        <w:rPr>
          <w:color w:val="000000"/>
          <w:sz w:val="24"/>
          <w:szCs w:val="24"/>
          <w:lang w:val="sr-Latn-RS"/>
        </w:rPr>
        <w:t xml:space="preserve"> i </w:t>
      </w:r>
      <w:r w:rsidRPr="0067694E">
        <w:rPr>
          <w:color w:val="000000"/>
          <w:sz w:val="24"/>
          <w:szCs w:val="24"/>
          <w:lang w:val="sr-Latn-RS"/>
        </w:rPr>
        <w:t>A 11 – Inicijativ</w:t>
      </w:r>
      <w:r w:rsidR="00790395" w:rsidRPr="0067694E">
        <w:rPr>
          <w:color w:val="000000"/>
          <w:sz w:val="24"/>
          <w:szCs w:val="24"/>
          <w:lang w:val="sr-Latn-RS"/>
        </w:rPr>
        <w:t>e</w:t>
      </w:r>
      <w:r w:rsidRPr="0067694E">
        <w:rPr>
          <w:color w:val="000000"/>
          <w:sz w:val="24"/>
          <w:szCs w:val="24"/>
          <w:lang w:val="sr-Latn-RS"/>
        </w:rPr>
        <w:t xml:space="preserve"> za ekonomska</w:t>
      </w:r>
      <w:r w:rsidR="002C0A38" w:rsidRPr="0067694E">
        <w:rPr>
          <w:color w:val="000000"/>
          <w:sz w:val="24"/>
          <w:szCs w:val="24"/>
          <w:lang w:val="sr-Latn-RS"/>
        </w:rPr>
        <w:t xml:space="preserve"> i </w:t>
      </w:r>
      <w:r w:rsidRPr="0067694E">
        <w:rPr>
          <w:color w:val="000000"/>
          <w:sz w:val="24"/>
          <w:szCs w:val="24"/>
          <w:lang w:val="sr-Latn-RS"/>
        </w:rPr>
        <w:t xml:space="preserve">socijalna prava, predstavlja glavne </w:t>
      </w:r>
      <w:r w:rsidR="00A86251" w:rsidRPr="0067694E">
        <w:rPr>
          <w:color w:val="000000"/>
          <w:sz w:val="24"/>
          <w:szCs w:val="24"/>
          <w:lang w:val="sr-Latn-RS"/>
        </w:rPr>
        <w:t>probleme</w:t>
      </w:r>
      <w:r w:rsidR="002C0A38" w:rsidRPr="0067694E">
        <w:rPr>
          <w:color w:val="000000"/>
          <w:sz w:val="24"/>
          <w:szCs w:val="24"/>
          <w:lang w:val="sr-Latn-RS"/>
        </w:rPr>
        <w:t xml:space="preserve"> i </w:t>
      </w:r>
      <w:r w:rsidRPr="0067694E">
        <w:rPr>
          <w:color w:val="000000"/>
          <w:sz w:val="24"/>
          <w:szCs w:val="24"/>
          <w:lang w:val="sr-Latn-RS"/>
        </w:rPr>
        <w:t>izvazove u primeni Međunarodnog pakta o ekonomskim, socijalnim</w:t>
      </w:r>
      <w:r w:rsidR="002C0A38" w:rsidRPr="0067694E">
        <w:rPr>
          <w:color w:val="000000"/>
          <w:sz w:val="24"/>
          <w:szCs w:val="24"/>
          <w:lang w:val="sr-Latn-RS"/>
        </w:rPr>
        <w:t xml:space="preserve"> i </w:t>
      </w:r>
      <w:r w:rsidRPr="0067694E">
        <w:rPr>
          <w:color w:val="000000"/>
          <w:sz w:val="24"/>
          <w:szCs w:val="24"/>
          <w:lang w:val="sr-Latn-RS"/>
        </w:rPr>
        <w:t xml:space="preserve">kulturnim pravima u Srbiji. </w:t>
      </w:r>
      <w:r w:rsidR="00A86251" w:rsidRPr="0067694E">
        <w:rPr>
          <w:color w:val="000000"/>
          <w:sz w:val="24"/>
          <w:szCs w:val="24"/>
          <w:lang w:val="sr-Latn-RS"/>
        </w:rPr>
        <w:t>Podnesak je pripremljen povodom pregleda Srbije pred Komitetom Ujedinjenih nacija za ekonomska, socijalna</w:t>
      </w:r>
      <w:r w:rsidR="002C0A38" w:rsidRPr="0067694E">
        <w:rPr>
          <w:color w:val="000000"/>
          <w:sz w:val="24"/>
          <w:szCs w:val="24"/>
          <w:lang w:val="sr-Latn-RS"/>
        </w:rPr>
        <w:t xml:space="preserve"> i </w:t>
      </w:r>
      <w:r w:rsidR="00A86251" w:rsidRPr="0067694E">
        <w:rPr>
          <w:color w:val="000000"/>
          <w:sz w:val="24"/>
          <w:szCs w:val="24"/>
          <w:lang w:val="sr-Latn-RS"/>
        </w:rPr>
        <w:t>kulturna prava na njegovoj 71. sednici koja se održava u februaru 2022. godine. Ovaj izveštaj pruža dodatne informacije</w:t>
      </w:r>
      <w:r w:rsidR="00D35CA5" w:rsidRPr="0067694E">
        <w:rPr>
          <w:color w:val="000000"/>
          <w:sz w:val="24"/>
          <w:szCs w:val="24"/>
          <w:lang w:val="sr-Latn-RS"/>
        </w:rPr>
        <w:t xml:space="preserve"> </w:t>
      </w:r>
      <w:r w:rsidR="00A86251" w:rsidRPr="0067694E">
        <w:rPr>
          <w:color w:val="000000"/>
          <w:sz w:val="24"/>
          <w:szCs w:val="24"/>
          <w:lang w:val="sr-Latn-RS"/>
        </w:rPr>
        <w:t xml:space="preserve"> o pitanjima koja su </w:t>
      </w:r>
      <w:r w:rsidR="00E635B1" w:rsidRPr="0067694E">
        <w:rPr>
          <w:color w:val="000000"/>
          <w:sz w:val="24"/>
          <w:szCs w:val="24"/>
          <w:lang w:val="sr-Latn-RS"/>
        </w:rPr>
        <w:t>navedena u,</w:t>
      </w:r>
      <w:r w:rsidR="00A86251" w:rsidRPr="0067694E">
        <w:rPr>
          <w:color w:val="000000"/>
          <w:sz w:val="24"/>
          <w:szCs w:val="24"/>
          <w:lang w:val="sr-Latn-RS"/>
        </w:rPr>
        <w:t xml:space="preserve"> ili izostavljena </w:t>
      </w:r>
      <w:r w:rsidR="00E635B1" w:rsidRPr="0067694E">
        <w:rPr>
          <w:color w:val="000000"/>
          <w:sz w:val="24"/>
          <w:szCs w:val="24"/>
          <w:lang w:val="sr-Latn-RS"/>
        </w:rPr>
        <w:t>iz</w:t>
      </w:r>
      <w:r w:rsidR="00A86251" w:rsidRPr="0067694E">
        <w:rPr>
          <w:color w:val="000000"/>
          <w:sz w:val="24"/>
          <w:szCs w:val="24"/>
          <w:lang w:val="sr-Latn-RS"/>
        </w:rPr>
        <w:t xml:space="preserve"> izveštaj</w:t>
      </w:r>
      <w:r w:rsidR="00E635B1" w:rsidRPr="0067694E">
        <w:rPr>
          <w:color w:val="000000"/>
          <w:sz w:val="24"/>
          <w:szCs w:val="24"/>
          <w:lang w:val="sr-Latn-RS"/>
        </w:rPr>
        <w:t>a</w:t>
      </w:r>
      <w:r w:rsidR="00A86251" w:rsidRPr="0067694E">
        <w:rPr>
          <w:color w:val="000000"/>
          <w:sz w:val="24"/>
          <w:szCs w:val="24"/>
          <w:lang w:val="sr-Latn-RS"/>
        </w:rPr>
        <w:t xml:space="preserve"> države članice </w:t>
      </w:r>
      <w:r w:rsidR="00E635B1" w:rsidRPr="0067694E">
        <w:rPr>
          <w:color w:val="000000"/>
          <w:sz w:val="24"/>
          <w:szCs w:val="24"/>
          <w:lang w:val="sr-Latn-RS"/>
        </w:rPr>
        <w:t>podnetog u</w:t>
      </w:r>
      <w:r w:rsidR="00A86251" w:rsidRPr="0067694E">
        <w:rPr>
          <w:color w:val="000000"/>
          <w:sz w:val="24"/>
          <w:szCs w:val="24"/>
          <w:lang w:val="sr-Latn-RS"/>
        </w:rPr>
        <w:t xml:space="preserve"> jun</w:t>
      </w:r>
      <w:r w:rsidR="00E635B1" w:rsidRPr="0067694E">
        <w:rPr>
          <w:color w:val="000000"/>
          <w:sz w:val="24"/>
          <w:szCs w:val="24"/>
          <w:lang w:val="sr-Latn-RS"/>
        </w:rPr>
        <w:t>u</w:t>
      </w:r>
      <w:r w:rsidR="00A86251" w:rsidRPr="0067694E">
        <w:rPr>
          <w:color w:val="000000"/>
          <w:sz w:val="24"/>
          <w:szCs w:val="24"/>
          <w:lang w:val="sr-Latn-RS"/>
        </w:rPr>
        <w:t xml:space="preserve"> 2021.</w:t>
      </w:r>
      <w:r w:rsidR="00E635B1" w:rsidRPr="0067694E">
        <w:rPr>
          <w:color w:val="000000"/>
          <w:sz w:val="24"/>
          <w:szCs w:val="24"/>
          <w:lang w:val="sr-Latn-RS"/>
        </w:rPr>
        <w:t xml:space="preserve"> godine,</w:t>
      </w:r>
      <w:r w:rsidR="00A86251" w:rsidRPr="0067694E">
        <w:rPr>
          <w:color w:val="000000"/>
          <w:sz w:val="24"/>
          <w:szCs w:val="24"/>
          <w:lang w:val="sr-Latn-RS"/>
        </w:rPr>
        <w:t xml:space="preserve"> </w:t>
      </w:r>
      <w:r w:rsidR="00E635B1" w:rsidRPr="0067694E">
        <w:rPr>
          <w:color w:val="000000"/>
          <w:sz w:val="24"/>
          <w:szCs w:val="24"/>
          <w:lang w:val="sr-Latn-RS"/>
        </w:rPr>
        <w:t>te nastoji</w:t>
      </w:r>
      <w:r w:rsidR="00A86251" w:rsidRPr="0067694E">
        <w:rPr>
          <w:color w:val="000000"/>
          <w:sz w:val="24"/>
          <w:szCs w:val="24"/>
          <w:lang w:val="sr-Latn-RS"/>
        </w:rPr>
        <w:t xml:space="preserve"> da pruži odgovore na pitanja sa liste pitanja koj</w:t>
      </w:r>
      <w:r w:rsidR="002C0A38" w:rsidRPr="0067694E">
        <w:rPr>
          <w:color w:val="000000"/>
          <w:sz w:val="24"/>
          <w:szCs w:val="24"/>
          <w:lang w:val="sr-Latn-RS"/>
        </w:rPr>
        <w:t>u</w:t>
      </w:r>
      <w:r w:rsidR="00A86251" w:rsidRPr="0067694E">
        <w:rPr>
          <w:color w:val="000000"/>
          <w:sz w:val="24"/>
          <w:szCs w:val="24"/>
          <w:lang w:val="sr-Latn-RS"/>
        </w:rPr>
        <w:t xml:space="preserve"> je </w:t>
      </w:r>
      <w:r w:rsidR="002C0A38" w:rsidRPr="0067694E">
        <w:rPr>
          <w:color w:val="000000"/>
          <w:sz w:val="24"/>
          <w:szCs w:val="24"/>
          <w:lang w:val="sr-Latn-RS"/>
        </w:rPr>
        <w:t>Komitet</w:t>
      </w:r>
      <w:r w:rsidR="00A86251" w:rsidRPr="0067694E">
        <w:rPr>
          <w:color w:val="000000"/>
          <w:sz w:val="24"/>
          <w:szCs w:val="24"/>
          <w:lang w:val="sr-Latn-RS"/>
        </w:rPr>
        <w:t xml:space="preserve"> usvoji</w:t>
      </w:r>
      <w:r w:rsidR="002C0A38" w:rsidRPr="0067694E">
        <w:rPr>
          <w:color w:val="000000"/>
          <w:sz w:val="24"/>
          <w:szCs w:val="24"/>
          <w:lang w:val="sr-Latn-RS"/>
        </w:rPr>
        <w:t>o</w:t>
      </w:r>
      <w:r w:rsidR="00A86251" w:rsidRPr="0067694E">
        <w:rPr>
          <w:color w:val="000000"/>
          <w:sz w:val="24"/>
          <w:szCs w:val="24"/>
          <w:lang w:val="sr-Latn-RS"/>
        </w:rPr>
        <w:t xml:space="preserve"> na </w:t>
      </w:r>
      <w:r w:rsidR="00E635B1" w:rsidRPr="0067694E">
        <w:rPr>
          <w:color w:val="000000"/>
          <w:sz w:val="24"/>
          <w:szCs w:val="24"/>
          <w:lang w:val="sr-Latn-RS"/>
        </w:rPr>
        <w:t>pred-sesionoj</w:t>
      </w:r>
      <w:r w:rsidR="00A86251" w:rsidRPr="0067694E">
        <w:rPr>
          <w:color w:val="000000"/>
          <w:sz w:val="24"/>
          <w:szCs w:val="24"/>
          <w:lang w:val="sr-Latn-RS"/>
        </w:rPr>
        <w:t xml:space="preserve"> radnoj grupi u novembru 2019.</w:t>
      </w:r>
      <w:r w:rsidR="00E635B1" w:rsidRPr="0067694E">
        <w:rPr>
          <w:color w:val="000000"/>
          <w:sz w:val="24"/>
          <w:szCs w:val="24"/>
          <w:lang w:val="sr-Latn-RS"/>
        </w:rPr>
        <w:t xml:space="preserve"> godine.</w:t>
      </w:r>
    </w:p>
    <w:p w14:paraId="15B398F2" w14:textId="4F62E4AD" w:rsidR="00E635B1" w:rsidRPr="00790395" w:rsidRDefault="00E635B1" w:rsidP="00627234">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790395">
        <w:rPr>
          <w:color w:val="000000"/>
          <w:sz w:val="24"/>
          <w:szCs w:val="24"/>
          <w:lang w:val="sr-Latn-RS"/>
        </w:rPr>
        <w:t>Izveštaj pruža pregled obaveza države ugovornice prema članu 2 stavu 1 Međunarodnog pakta o ekonomskim, socijalnim</w:t>
      </w:r>
      <w:r w:rsidR="002C0A38">
        <w:rPr>
          <w:color w:val="000000"/>
          <w:sz w:val="24"/>
          <w:szCs w:val="24"/>
          <w:lang w:val="sr-Latn-RS"/>
        </w:rPr>
        <w:t xml:space="preserve"> i </w:t>
      </w:r>
      <w:r w:rsidRPr="00790395">
        <w:rPr>
          <w:color w:val="000000"/>
          <w:sz w:val="24"/>
          <w:szCs w:val="24"/>
          <w:lang w:val="sr-Latn-RS"/>
        </w:rPr>
        <w:t>kulturnim pravima da preduzme mere u skladu sa maksimumom sredstava koja su joj na raspolaganju</w:t>
      </w:r>
      <w:r w:rsidR="00C5204D" w:rsidRPr="00790395">
        <w:rPr>
          <w:color w:val="000000"/>
          <w:sz w:val="24"/>
          <w:szCs w:val="24"/>
          <w:lang w:val="sr-Latn-RS"/>
        </w:rPr>
        <w:t xml:space="preserve">, u cilju progresivne realizacije svih Paktom prepoznatih prava. Takođe, izveštaj </w:t>
      </w:r>
      <w:r w:rsidR="002C0A38">
        <w:rPr>
          <w:color w:val="000000"/>
          <w:sz w:val="24"/>
          <w:szCs w:val="24"/>
          <w:lang w:val="sr-Latn-RS"/>
        </w:rPr>
        <w:t>će ispitati</w:t>
      </w:r>
      <w:r w:rsidR="00C5204D" w:rsidRPr="00790395">
        <w:rPr>
          <w:color w:val="000000"/>
          <w:sz w:val="24"/>
          <w:szCs w:val="24"/>
          <w:lang w:val="sr-Latn-RS"/>
        </w:rPr>
        <w:t xml:space="preserve"> uvođenje mera štednje</w:t>
      </w:r>
      <w:r w:rsidR="002C0A38">
        <w:rPr>
          <w:color w:val="000000"/>
          <w:sz w:val="24"/>
          <w:szCs w:val="24"/>
          <w:lang w:val="sr-Latn-RS"/>
        </w:rPr>
        <w:t xml:space="preserve"> i </w:t>
      </w:r>
      <w:r w:rsidR="00C5204D" w:rsidRPr="00790395">
        <w:rPr>
          <w:color w:val="000000"/>
          <w:sz w:val="24"/>
          <w:szCs w:val="24"/>
          <w:lang w:val="sr-Latn-RS"/>
        </w:rPr>
        <w:t>njihov uticaj na ostvarivanje ekonomskih</w:t>
      </w:r>
      <w:r w:rsidR="002C0A38">
        <w:rPr>
          <w:color w:val="000000"/>
          <w:sz w:val="24"/>
          <w:szCs w:val="24"/>
          <w:lang w:val="sr-Latn-RS"/>
        </w:rPr>
        <w:t xml:space="preserve"> i </w:t>
      </w:r>
      <w:r w:rsidR="00C5204D" w:rsidRPr="00790395">
        <w:rPr>
          <w:color w:val="000000"/>
          <w:sz w:val="24"/>
          <w:szCs w:val="24"/>
          <w:lang w:val="sr-Latn-RS"/>
        </w:rPr>
        <w:t xml:space="preserve">socijalnih prava u Srbiji, </w:t>
      </w:r>
      <w:r w:rsidR="002C0A38">
        <w:rPr>
          <w:color w:val="000000"/>
          <w:sz w:val="24"/>
          <w:szCs w:val="24"/>
          <w:lang w:val="sr-Latn-RS"/>
        </w:rPr>
        <w:t>nakon kojih je usledila</w:t>
      </w:r>
      <w:r w:rsidR="00C5204D" w:rsidRPr="00790395">
        <w:rPr>
          <w:color w:val="000000"/>
          <w:sz w:val="24"/>
          <w:szCs w:val="24"/>
          <w:lang w:val="sr-Latn-RS"/>
        </w:rPr>
        <w:t xml:space="preserve"> COVID-19 pandemij</w:t>
      </w:r>
      <w:r w:rsidR="002C0A38">
        <w:rPr>
          <w:color w:val="000000"/>
          <w:sz w:val="24"/>
          <w:szCs w:val="24"/>
          <w:lang w:val="sr-Latn-RS"/>
        </w:rPr>
        <w:t>a</w:t>
      </w:r>
      <w:r w:rsidR="00C5204D" w:rsidRPr="00790395">
        <w:rPr>
          <w:color w:val="000000"/>
          <w:sz w:val="24"/>
          <w:szCs w:val="24"/>
          <w:lang w:val="sr-Latn-RS"/>
        </w:rPr>
        <w:t>.</w:t>
      </w:r>
      <w:r w:rsidR="003A57F1" w:rsidRPr="00790395">
        <w:rPr>
          <w:color w:val="000000"/>
          <w:sz w:val="24"/>
          <w:szCs w:val="24"/>
          <w:lang w:val="sr-Latn-RS"/>
        </w:rPr>
        <w:t xml:space="preserve"> Kao</w:t>
      </w:r>
      <w:r w:rsidR="002C0A38">
        <w:rPr>
          <w:color w:val="000000"/>
          <w:sz w:val="24"/>
          <w:szCs w:val="24"/>
          <w:lang w:val="sr-Latn-RS"/>
        </w:rPr>
        <w:t xml:space="preserve"> i </w:t>
      </w:r>
      <w:r w:rsidR="003A57F1" w:rsidRPr="00790395">
        <w:rPr>
          <w:color w:val="000000"/>
          <w:sz w:val="24"/>
          <w:szCs w:val="24"/>
          <w:lang w:val="sr-Latn-RS"/>
        </w:rPr>
        <w:t xml:space="preserve">pri uvođenju mera štednje, plan oporavka od COVID-19 nije uzeo u obzir prava najugroženijih osoba, a Srbija nije </w:t>
      </w:r>
      <w:r w:rsidR="00657AF2" w:rsidRPr="00790395">
        <w:rPr>
          <w:color w:val="000000"/>
          <w:sz w:val="24"/>
          <w:szCs w:val="24"/>
          <w:lang w:val="sr-Latn-RS"/>
        </w:rPr>
        <w:t>iskoristila svoje fiskalne mogućnosti zarad progresivne realizacije ekonomskih, socijalnih</w:t>
      </w:r>
      <w:r w:rsidR="002C0A38">
        <w:rPr>
          <w:color w:val="000000"/>
          <w:sz w:val="24"/>
          <w:szCs w:val="24"/>
          <w:lang w:val="sr-Latn-RS"/>
        </w:rPr>
        <w:t xml:space="preserve"> i </w:t>
      </w:r>
      <w:r w:rsidR="00657AF2" w:rsidRPr="00790395">
        <w:rPr>
          <w:color w:val="000000"/>
          <w:sz w:val="24"/>
          <w:szCs w:val="24"/>
          <w:lang w:val="sr-Latn-RS"/>
        </w:rPr>
        <w:t>kultu</w:t>
      </w:r>
      <w:r w:rsidR="00F424E6">
        <w:rPr>
          <w:color w:val="000000"/>
          <w:sz w:val="24"/>
          <w:szCs w:val="24"/>
          <w:lang w:val="sr-Latn-RS"/>
        </w:rPr>
        <w:t>r</w:t>
      </w:r>
      <w:r w:rsidR="00657AF2" w:rsidRPr="00790395">
        <w:rPr>
          <w:color w:val="000000"/>
          <w:sz w:val="24"/>
          <w:szCs w:val="24"/>
          <w:lang w:val="sr-Latn-RS"/>
        </w:rPr>
        <w:t xml:space="preserve">nih prava. Ovo će biti </w:t>
      </w:r>
      <w:r w:rsidR="00D40BCD" w:rsidRPr="00790395">
        <w:rPr>
          <w:color w:val="000000"/>
          <w:sz w:val="24"/>
          <w:szCs w:val="24"/>
          <w:lang w:val="sr-Latn-RS"/>
        </w:rPr>
        <w:t>predstavljeno</w:t>
      </w:r>
      <w:r w:rsidR="00657AF2" w:rsidRPr="00790395">
        <w:rPr>
          <w:color w:val="000000"/>
          <w:sz w:val="24"/>
          <w:szCs w:val="24"/>
          <w:lang w:val="sr-Latn-RS"/>
        </w:rPr>
        <w:t xml:space="preserve"> najviše u vezi sa pravom na socijalnu zaštitu (član 9)</w:t>
      </w:r>
      <w:r w:rsidR="002C0A38">
        <w:rPr>
          <w:color w:val="000000"/>
          <w:sz w:val="24"/>
          <w:szCs w:val="24"/>
          <w:lang w:val="sr-Latn-RS"/>
        </w:rPr>
        <w:t xml:space="preserve"> i </w:t>
      </w:r>
      <w:r w:rsidR="00657AF2" w:rsidRPr="00790395">
        <w:rPr>
          <w:color w:val="000000"/>
          <w:sz w:val="24"/>
          <w:szCs w:val="24"/>
          <w:lang w:val="sr-Latn-RS"/>
        </w:rPr>
        <w:t>pravom na adekvatan životni standard (član 11).</w:t>
      </w:r>
    </w:p>
    <w:p w14:paraId="1592F913" w14:textId="5D4965E6" w:rsidR="009B3885" w:rsidRPr="00790395" w:rsidRDefault="007D26B3" w:rsidP="00627234">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790395">
        <w:rPr>
          <w:color w:val="000000"/>
          <w:sz w:val="24"/>
          <w:szCs w:val="24"/>
          <w:lang w:val="sr-Latn-RS"/>
        </w:rPr>
        <w:t>Ovaj izveštaj je podeljen u pet segmenata. Nakon uvoda se predstavljaju opšti okviri za zaštitu</w:t>
      </w:r>
      <w:r w:rsidR="002C0A38">
        <w:rPr>
          <w:color w:val="000000"/>
          <w:sz w:val="24"/>
          <w:szCs w:val="24"/>
          <w:lang w:val="sr-Latn-RS"/>
        </w:rPr>
        <w:t xml:space="preserve"> i </w:t>
      </w:r>
      <w:r w:rsidRPr="00790395">
        <w:rPr>
          <w:color w:val="000000"/>
          <w:sz w:val="24"/>
          <w:szCs w:val="24"/>
          <w:lang w:val="sr-Latn-RS"/>
        </w:rPr>
        <w:t>unapređenje ekonomskih, socijalnih</w:t>
      </w:r>
      <w:r w:rsidR="002C0A38">
        <w:rPr>
          <w:color w:val="000000"/>
          <w:sz w:val="24"/>
          <w:szCs w:val="24"/>
          <w:lang w:val="sr-Latn-RS"/>
        </w:rPr>
        <w:t xml:space="preserve"> i </w:t>
      </w:r>
      <w:r w:rsidRPr="00790395">
        <w:rPr>
          <w:color w:val="000000"/>
          <w:sz w:val="24"/>
          <w:szCs w:val="24"/>
          <w:lang w:val="sr-Latn-RS"/>
        </w:rPr>
        <w:t>kulturnih prava. Nakon tog segmenta sledi segment o pravu na socijalnu zaštitu</w:t>
      </w:r>
      <w:r w:rsidR="002C0A38">
        <w:rPr>
          <w:color w:val="000000"/>
          <w:sz w:val="24"/>
          <w:szCs w:val="24"/>
          <w:lang w:val="sr-Latn-RS"/>
        </w:rPr>
        <w:t xml:space="preserve"> i </w:t>
      </w:r>
      <w:r w:rsidRPr="00790395">
        <w:rPr>
          <w:color w:val="000000"/>
          <w:sz w:val="24"/>
          <w:szCs w:val="24"/>
          <w:lang w:val="sr-Latn-RS"/>
        </w:rPr>
        <w:t>pravu na adekvatan život</w:t>
      </w:r>
      <w:r w:rsidR="002C0A38">
        <w:rPr>
          <w:color w:val="000000"/>
          <w:sz w:val="24"/>
          <w:szCs w:val="24"/>
          <w:lang w:val="sr-Latn-RS"/>
        </w:rPr>
        <w:t>ni standard</w:t>
      </w:r>
      <w:r w:rsidRPr="00790395">
        <w:rPr>
          <w:color w:val="000000"/>
          <w:sz w:val="24"/>
          <w:szCs w:val="24"/>
          <w:lang w:val="sr-Latn-RS"/>
        </w:rPr>
        <w:t>, kao</w:t>
      </w:r>
      <w:r w:rsidR="002C0A38">
        <w:rPr>
          <w:color w:val="000000"/>
          <w:sz w:val="24"/>
          <w:szCs w:val="24"/>
          <w:lang w:val="sr-Latn-RS"/>
        </w:rPr>
        <w:t xml:space="preserve"> i </w:t>
      </w:r>
      <w:r w:rsidRPr="00790395">
        <w:rPr>
          <w:color w:val="000000"/>
          <w:sz w:val="24"/>
          <w:szCs w:val="24"/>
          <w:lang w:val="sr-Latn-RS"/>
        </w:rPr>
        <w:t>kratak pregled mera oporavka od COVID-19</w:t>
      </w:r>
      <w:r w:rsidR="002C0A38">
        <w:rPr>
          <w:color w:val="000000"/>
          <w:sz w:val="24"/>
          <w:szCs w:val="24"/>
          <w:lang w:val="sr-Latn-RS"/>
        </w:rPr>
        <w:t xml:space="preserve"> i </w:t>
      </w:r>
      <w:r w:rsidRPr="00790395">
        <w:rPr>
          <w:color w:val="000000"/>
          <w:sz w:val="24"/>
          <w:szCs w:val="24"/>
          <w:lang w:val="sr-Latn-RS"/>
        </w:rPr>
        <w:t>uticaj</w:t>
      </w:r>
      <w:r w:rsidR="00F424E6">
        <w:rPr>
          <w:color w:val="000000"/>
          <w:sz w:val="24"/>
          <w:szCs w:val="24"/>
          <w:lang w:val="sr-Latn-RS"/>
        </w:rPr>
        <w:t xml:space="preserve"> ovih mera </w:t>
      </w:r>
      <w:r w:rsidRPr="00790395">
        <w:rPr>
          <w:color w:val="000000"/>
          <w:sz w:val="24"/>
          <w:szCs w:val="24"/>
          <w:lang w:val="sr-Latn-RS"/>
        </w:rPr>
        <w:t>na uživanje ekonomskih</w:t>
      </w:r>
      <w:r w:rsidR="002C0A38">
        <w:rPr>
          <w:color w:val="000000"/>
          <w:sz w:val="24"/>
          <w:szCs w:val="24"/>
          <w:lang w:val="sr-Latn-RS"/>
        </w:rPr>
        <w:t xml:space="preserve"> i </w:t>
      </w:r>
      <w:r w:rsidRPr="00790395">
        <w:rPr>
          <w:color w:val="000000"/>
          <w:sz w:val="24"/>
          <w:szCs w:val="24"/>
          <w:lang w:val="sr-Latn-RS"/>
        </w:rPr>
        <w:t xml:space="preserve">socijalnih </w:t>
      </w:r>
      <w:r w:rsidRPr="00790395">
        <w:rPr>
          <w:color w:val="000000"/>
          <w:sz w:val="24"/>
          <w:szCs w:val="24"/>
          <w:lang w:val="sr-Latn-RS"/>
        </w:rPr>
        <w:lastRenderedPageBreak/>
        <w:t xml:space="preserve">prava. U poslednjem segmentu </w:t>
      </w:r>
      <w:r w:rsidR="002C0A38">
        <w:rPr>
          <w:color w:val="000000"/>
          <w:sz w:val="24"/>
          <w:szCs w:val="24"/>
          <w:lang w:val="sr-Latn-RS"/>
        </w:rPr>
        <w:t>se nalazi spisak</w:t>
      </w:r>
      <w:r w:rsidRPr="00790395">
        <w:rPr>
          <w:color w:val="000000"/>
          <w:sz w:val="24"/>
          <w:szCs w:val="24"/>
          <w:lang w:val="sr-Latn-RS"/>
        </w:rPr>
        <w:t xml:space="preserve"> preporuk</w:t>
      </w:r>
      <w:r w:rsidR="002C0A38">
        <w:rPr>
          <w:color w:val="000000"/>
          <w:sz w:val="24"/>
          <w:szCs w:val="24"/>
          <w:lang w:val="sr-Latn-RS"/>
        </w:rPr>
        <w:t>a</w:t>
      </w:r>
      <w:r w:rsidRPr="00790395">
        <w:rPr>
          <w:color w:val="000000"/>
          <w:sz w:val="24"/>
          <w:szCs w:val="24"/>
          <w:lang w:val="sr-Latn-RS"/>
        </w:rPr>
        <w:t xml:space="preserve"> za unapređenje uživanja ekonomskih, socijalnih</w:t>
      </w:r>
      <w:r w:rsidR="002C0A38">
        <w:rPr>
          <w:color w:val="000000"/>
          <w:sz w:val="24"/>
          <w:szCs w:val="24"/>
          <w:lang w:val="sr-Latn-RS"/>
        </w:rPr>
        <w:t xml:space="preserve"> i </w:t>
      </w:r>
      <w:r w:rsidRPr="00790395">
        <w:rPr>
          <w:color w:val="000000"/>
          <w:sz w:val="24"/>
          <w:szCs w:val="24"/>
          <w:lang w:val="sr-Latn-RS"/>
        </w:rPr>
        <w:t>kulturnih prava u Srbiji.</w:t>
      </w:r>
    </w:p>
    <w:p w14:paraId="7A199D02" w14:textId="1259E7BD" w:rsidR="009B3885" w:rsidRPr="00790395" w:rsidRDefault="007D26B3" w:rsidP="00627234">
      <w:pPr>
        <w:pStyle w:val="Heading1"/>
        <w:spacing w:before="100" w:beforeAutospacing="1" w:after="100" w:afterAutospacing="1" w:line="240" w:lineRule="auto"/>
        <w:rPr>
          <w:sz w:val="24"/>
          <w:szCs w:val="24"/>
          <w:lang w:val="sr-Latn-RS"/>
        </w:rPr>
      </w:pPr>
      <w:bookmarkStart w:id="1" w:name="_Toc93689878"/>
      <w:r w:rsidRPr="00790395">
        <w:rPr>
          <w:b/>
          <w:color w:val="000000"/>
          <w:sz w:val="28"/>
          <w:szCs w:val="28"/>
          <w:lang w:val="sr-Latn-RS"/>
        </w:rPr>
        <w:t>Opšti okvir za zaštitu</w:t>
      </w:r>
      <w:r w:rsidR="002C0A38">
        <w:rPr>
          <w:b/>
          <w:color w:val="000000"/>
          <w:sz w:val="28"/>
          <w:szCs w:val="28"/>
          <w:lang w:val="sr-Latn-RS"/>
        </w:rPr>
        <w:t xml:space="preserve"> i </w:t>
      </w:r>
      <w:r w:rsidRPr="00790395">
        <w:rPr>
          <w:b/>
          <w:color w:val="000000"/>
          <w:sz w:val="28"/>
          <w:szCs w:val="28"/>
          <w:lang w:val="sr-Latn-RS"/>
        </w:rPr>
        <w:t>unapređenje ekonomskih, socijalnih</w:t>
      </w:r>
      <w:r w:rsidR="002C0A38">
        <w:rPr>
          <w:b/>
          <w:color w:val="000000"/>
          <w:sz w:val="28"/>
          <w:szCs w:val="28"/>
          <w:lang w:val="sr-Latn-RS"/>
        </w:rPr>
        <w:t xml:space="preserve"> i </w:t>
      </w:r>
      <w:r w:rsidRPr="00790395">
        <w:rPr>
          <w:b/>
          <w:color w:val="000000"/>
          <w:sz w:val="28"/>
          <w:szCs w:val="28"/>
          <w:lang w:val="sr-Latn-RS"/>
        </w:rPr>
        <w:t>kulturnih prava</w:t>
      </w:r>
      <w:bookmarkEnd w:id="1"/>
    </w:p>
    <w:p w14:paraId="0C742858" w14:textId="6FB0AA6E" w:rsidR="007D26B3" w:rsidRPr="00790395" w:rsidRDefault="008E3357" w:rsidP="00627234">
      <w:pPr>
        <w:numPr>
          <w:ilvl w:val="0"/>
          <w:numId w:val="3"/>
        </w:numPr>
        <w:spacing w:before="100" w:beforeAutospacing="1" w:after="100" w:afterAutospacing="1" w:line="240" w:lineRule="auto"/>
        <w:ind w:left="0" w:firstLine="0"/>
        <w:jc w:val="both"/>
        <w:rPr>
          <w:sz w:val="24"/>
          <w:szCs w:val="24"/>
          <w:lang w:val="sr-Latn-RS"/>
        </w:rPr>
      </w:pPr>
      <w:r w:rsidRPr="00790395">
        <w:rPr>
          <w:sz w:val="24"/>
          <w:szCs w:val="24"/>
          <w:lang w:val="sr-Latn-RS"/>
        </w:rPr>
        <w:t>Srbija je 2014. godine uvela mere kao odgovor na budžetski deficit</w:t>
      </w:r>
      <w:r w:rsidR="002C0A38">
        <w:rPr>
          <w:sz w:val="24"/>
          <w:szCs w:val="24"/>
          <w:lang w:val="sr-Latn-RS"/>
        </w:rPr>
        <w:t xml:space="preserve"> i </w:t>
      </w:r>
      <w:r w:rsidRPr="00790395">
        <w:rPr>
          <w:sz w:val="24"/>
          <w:szCs w:val="24"/>
          <w:lang w:val="sr-Latn-RS"/>
        </w:rPr>
        <w:t>ekonomsku kriz</w:t>
      </w:r>
      <w:r w:rsidR="002C0A38">
        <w:rPr>
          <w:sz w:val="24"/>
          <w:szCs w:val="24"/>
          <w:lang w:val="sr-Latn-RS"/>
        </w:rPr>
        <w:t>u</w:t>
      </w:r>
      <w:r w:rsidRPr="00790395">
        <w:rPr>
          <w:sz w:val="24"/>
          <w:szCs w:val="24"/>
          <w:lang w:val="sr-Latn-RS"/>
        </w:rPr>
        <w:t>. Neke od ključnih promena su se ticale smanjenja budžetskih izdvajanja za ekonomska</w:t>
      </w:r>
      <w:r w:rsidR="002C0A38">
        <w:rPr>
          <w:sz w:val="24"/>
          <w:szCs w:val="24"/>
          <w:lang w:val="sr-Latn-RS"/>
        </w:rPr>
        <w:t xml:space="preserve"> i </w:t>
      </w:r>
      <w:r w:rsidRPr="00790395">
        <w:rPr>
          <w:sz w:val="24"/>
          <w:szCs w:val="24"/>
          <w:lang w:val="sr-Latn-RS"/>
        </w:rPr>
        <w:t>socijalna prava, kao</w:t>
      </w:r>
      <w:r w:rsidR="002C0A38">
        <w:rPr>
          <w:sz w:val="24"/>
          <w:szCs w:val="24"/>
          <w:lang w:val="sr-Latn-RS"/>
        </w:rPr>
        <w:t xml:space="preserve"> i </w:t>
      </w:r>
      <w:r w:rsidRPr="00790395">
        <w:rPr>
          <w:sz w:val="24"/>
          <w:szCs w:val="24"/>
          <w:lang w:val="sr-Latn-RS"/>
        </w:rPr>
        <w:t>uvećanja poreza.</w:t>
      </w:r>
      <w:r w:rsidRPr="00790395">
        <w:rPr>
          <w:sz w:val="24"/>
          <w:szCs w:val="24"/>
          <w:vertAlign w:val="superscript"/>
          <w:lang w:val="sr-Latn-RS"/>
        </w:rPr>
        <w:footnoteReference w:id="1"/>
      </w:r>
      <w:r w:rsidRPr="00790395">
        <w:rPr>
          <w:sz w:val="24"/>
          <w:szCs w:val="24"/>
          <w:lang w:val="sr-Latn-RS"/>
        </w:rPr>
        <w:t xml:space="preserve"> </w:t>
      </w:r>
      <w:r w:rsidR="00641190" w:rsidRPr="00790395">
        <w:rPr>
          <w:sz w:val="24"/>
          <w:szCs w:val="24"/>
          <w:lang w:val="sr-Latn-RS"/>
        </w:rPr>
        <w:t>Iako postoji jasno polje slobodne procene u okviru kog države ugovornice uspostavljaju svoje nacionalne politike</w:t>
      </w:r>
      <w:r w:rsidR="00A8263C" w:rsidRPr="00790395">
        <w:rPr>
          <w:sz w:val="24"/>
          <w:szCs w:val="24"/>
          <w:lang w:val="sr-Latn-RS"/>
        </w:rPr>
        <w:t xml:space="preserve"> u situacijama ozbiljnih ograničenja resursa izazvanih prilagođavanjem ili ekonomskom recesijom, prema Komitetu ove politike moraju da budu: 1) privremene; 2) neophodne</w:t>
      </w:r>
      <w:r w:rsidR="002C0A38">
        <w:rPr>
          <w:sz w:val="24"/>
          <w:szCs w:val="24"/>
          <w:lang w:val="sr-Latn-RS"/>
        </w:rPr>
        <w:t xml:space="preserve"> i </w:t>
      </w:r>
      <w:r w:rsidR="00A8263C" w:rsidRPr="00790395">
        <w:rPr>
          <w:sz w:val="24"/>
          <w:szCs w:val="24"/>
          <w:lang w:val="sr-Latn-RS"/>
        </w:rPr>
        <w:t xml:space="preserve">proporcionalne; 3) nedisktiminatorne, te moraju da sadrže sve moguće mere kojima bi socijalni transferi bili omogućeni kako bi se predupredile nejednakosti koje mogu da nastanu u kriznim vremenima; </w:t>
      </w:r>
      <w:r w:rsidR="002C0A38">
        <w:rPr>
          <w:sz w:val="24"/>
          <w:szCs w:val="24"/>
          <w:lang w:val="sr-Latn-RS"/>
        </w:rPr>
        <w:t xml:space="preserve">i </w:t>
      </w:r>
      <w:r w:rsidR="00A8263C" w:rsidRPr="00790395">
        <w:rPr>
          <w:sz w:val="24"/>
          <w:szCs w:val="24"/>
          <w:lang w:val="sr-Latn-RS"/>
        </w:rPr>
        <w:t xml:space="preserve">4) takve da identifikuju </w:t>
      </w:r>
      <w:r w:rsidR="00A85390" w:rsidRPr="00790395">
        <w:rPr>
          <w:sz w:val="24"/>
          <w:szCs w:val="24"/>
          <w:lang w:val="sr-Latn-RS"/>
        </w:rPr>
        <w:t>minimalni osnovni sadržaj</w:t>
      </w:r>
      <w:r w:rsidR="00A8263C" w:rsidRPr="00790395">
        <w:rPr>
          <w:sz w:val="24"/>
          <w:szCs w:val="24"/>
          <w:lang w:val="sr-Latn-RS"/>
        </w:rPr>
        <w:t xml:space="preserve"> pojedinačnih prava.</w:t>
      </w:r>
      <w:r w:rsidR="003517BC" w:rsidRPr="00790395">
        <w:rPr>
          <w:sz w:val="24"/>
          <w:szCs w:val="24"/>
          <w:vertAlign w:val="superscript"/>
          <w:lang w:val="sr-Latn-RS"/>
        </w:rPr>
        <w:footnoteReference w:id="2"/>
      </w:r>
      <w:r w:rsidR="003517BC" w:rsidRPr="00790395">
        <w:rPr>
          <w:sz w:val="24"/>
          <w:szCs w:val="24"/>
          <w:lang w:val="sr-Latn-RS"/>
        </w:rPr>
        <w:t xml:space="preserve"> Srbija nije ispunila ove kriterijume pri uvođenju mera štednje.</w:t>
      </w:r>
    </w:p>
    <w:p w14:paraId="49D8BAC8" w14:textId="2F7D79A6" w:rsidR="003517BC" w:rsidRPr="00790395" w:rsidRDefault="00E35018" w:rsidP="00627234">
      <w:pPr>
        <w:numPr>
          <w:ilvl w:val="0"/>
          <w:numId w:val="3"/>
        </w:numPr>
        <w:spacing w:before="100" w:beforeAutospacing="1" w:after="100" w:afterAutospacing="1" w:line="240" w:lineRule="auto"/>
        <w:ind w:left="0" w:firstLine="0"/>
        <w:jc w:val="both"/>
        <w:rPr>
          <w:lang w:val="sr-Latn-RS"/>
        </w:rPr>
      </w:pPr>
      <w:r w:rsidRPr="00790395">
        <w:rPr>
          <w:sz w:val="24"/>
          <w:szCs w:val="24"/>
          <w:lang w:val="sr-Latn-RS"/>
        </w:rPr>
        <w:t>Od</w:t>
      </w:r>
      <w:r w:rsidR="003517BC" w:rsidRPr="00790395">
        <w:rPr>
          <w:sz w:val="24"/>
          <w:szCs w:val="24"/>
          <w:lang w:val="sr-Latn-RS"/>
        </w:rPr>
        <w:t xml:space="preserve"> raspada Socijalističke federativne Republike Jugoslavije, Republika Srbija </w:t>
      </w:r>
      <w:r w:rsidRPr="00790395">
        <w:rPr>
          <w:sz w:val="24"/>
          <w:szCs w:val="24"/>
          <w:lang w:val="sr-Latn-RS"/>
        </w:rPr>
        <w:t>se smatra zemljom u tranziciji,</w:t>
      </w:r>
      <w:r w:rsidR="002C0A38">
        <w:rPr>
          <w:sz w:val="24"/>
          <w:szCs w:val="24"/>
          <w:lang w:val="sr-Latn-RS"/>
        </w:rPr>
        <w:t xml:space="preserve"> </w:t>
      </w:r>
      <w:r w:rsidR="00306303">
        <w:rPr>
          <w:sz w:val="24"/>
          <w:szCs w:val="24"/>
          <w:lang w:val="sr-Latn-RS"/>
        </w:rPr>
        <w:t>a</w:t>
      </w:r>
      <w:r w:rsidR="002C0A38">
        <w:rPr>
          <w:sz w:val="24"/>
          <w:szCs w:val="24"/>
          <w:lang w:val="sr-Latn-RS"/>
        </w:rPr>
        <w:t xml:space="preserve"> </w:t>
      </w:r>
      <w:r w:rsidRPr="00790395">
        <w:rPr>
          <w:sz w:val="24"/>
          <w:szCs w:val="24"/>
          <w:lang w:val="sr-Latn-RS"/>
        </w:rPr>
        <w:t>ekonomsko uređenje u Srbiji počiva na tržišnoj privredi.</w:t>
      </w:r>
      <w:r w:rsidRPr="00790395">
        <w:rPr>
          <w:sz w:val="24"/>
          <w:szCs w:val="24"/>
          <w:vertAlign w:val="superscript"/>
          <w:lang w:val="sr-Latn-RS"/>
        </w:rPr>
        <w:footnoteReference w:id="3"/>
      </w:r>
      <w:r w:rsidRPr="00790395">
        <w:rPr>
          <w:sz w:val="24"/>
          <w:szCs w:val="24"/>
          <w:lang w:val="sr-Latn-RS"/>
        </w:rPr>
        <w:t xml:space="preserve"> Ustav </w:t>
      </w:r>
      <w:r w:rsidR="00AD3AD4" w:rsidRPr="00790395">
        <w:rPr>
          <w:sz w:val="24"/>
          <w:szCs w:val="24"/>
          <w:lang w:val="sr-Latn-RS"/>
        </w:rPr>
        <w:t xml:space="preserve">Republike Srbije </w:t>
      </w:r>
      <w:r w:rsidR="00306303">
        <w:rPr>
          <w:sz w:val="24"/>
          <w:szCs w:val="24"/>
          <w:lang w:val="sr-Latn-RS"/>
        </w:rPr>
        <w:t xml:space="preserve">ne </w:t>
      </w:r>
      <w:r w:rsidR="00AD3AD4" w:rsidRPr="00790395">
        <w:rPr>
          <w:sz w:val="24"/>
          <w:szCs w:val="24"/>
          <w:lang w:val="sr-Latn-RS"/>
        </w:rPr>
        <w:t xml:space="preserve">propisuje </w:t>
      </w:r>
      <w:r w:rsidR="00306303">
        <w:rPr>
          <w:sz w:val="24"/>
          <w:szCs w:val="24"/>
          <w:lang w:val="sr-Latn-RS"/>
        </w:rPr>
        <w:t>ek</w:t>
      </w:r>
      <w:r w:rsidR="00EB11E5">
        <w:rPr>
          <w:sz w:val="24"/>
          <w:szCs w:val="24"/>
          <w:lang w:val="sr-Latn-RS"/>
        </w:rPr>
        <w:t>s</w:t>
      </w:r>
      <w:r w:rsidR="00306303">
        <w:rPr>
          <w:sz w:val="24"/>
          <w:szCs w:val="24"/>
          <w:lang w:val="sr-Latn-RS"/>
        </w:rPr>
        <w:t xml:space="preserve">plicitno </w:t>
      </w:r>
      <w:r w:rsidR="00AD3AD4" w:rsidRPr="00790395">
        <w:rPr>
          <w:sz w:val="24"/>
          <w:szCs w:val="24"/>
          <w:lang w:val="sr-Latn-RS"/>
        </w:rPr>
        <w:t>obavezu države da progresivno ostvaruje ekonomska, socijalna</w:t>
      </w:r>
      <w:r w:rsidR="002C0A38">
        <w:rPr>
          <w:sz w:val="24"/>
          <w:szCs w:val="24"/>
          <w:lang w:val="sr-Latn-RS"/>
        </w:rPr>
        <w:t xml:space="preserve"> i </w:t>
      </w:r>
      <w:r w:rsidR="00AD3AD4" w:rsidRPr="00790395">
        <w:rPr>
          <w:sz w:val="24"/>
          <w:szCs w:val="24"/>
          <w:lang w:val="sr-Latn-RS"/>
        </w:rPr>
        <w:t xml:space="preserve">kulturna prava. </w:t>
      </w:r>
      <w:r w:rsidR="00306303">
        <w:rPr>
          <w:sz w:val="24"/>
          <w:szCs w:val="24"/>
          <w:lang w:val="sr-Latn-RS"/>
        </w:rPr>
        <w:t>Međutim</w:t>
      </w:r>
      <w:r w:rsidR="00AD3AD4" w:rsidRPr="00790395">
        <w:rPr>
          <w:sz w:val="24"/>
          <w:szCs w:val="24"/>
          <w:lang w:val="sr-Latn-RS"/>
        </w:rPr>
        <w:t>, član 18 Ustava propisuje da su ljudska</w:t>
      </w:r>
      <w:r w:rsidR="002C0A38">
        <w:rPr>
          <w:sz w:val="24"/>
          <w:szCs w:val="24"/>
          <w:lang w:val="sr-Latn-RS"/>
        </w:rPr>
        <w:t xml:space="preserve"> i </w:t>
      </w:r>
      <w:r w:rsidR="00AD3AD4" w:rsidRPr="00790395">
        <w:rPr>
          <w:sz w:val="24"/>
          <w:szCs w:val="24"/>
          <w:lang w:val="sr-Latn-RS"/>
        </w:rPr>
        <w:t>manjinska prava garantovana opšteprihvaćenim pravilima međunarodnog prava kao</w:t>
      </w:r>
      <w:r w:rsidR="00306303">
        <w:rPr>
          <w:sz w:val="24"/>
          <w:szCs w:val="24"/>
          <w:lang w:val="sr-Latn-RS"/>
        </w:rPr>
        <w:t xml:space="preserve"> </w:t>
      </w:r>
      <w:r w:rsidR="00AD3AD4" w:rsidRPr="00790395">
        <w:rPr>
          <w:sz w:val="24"/>
          <w:szCs w:val="24"/>
          <w:lang w:val="sr-Latn-RS"/>
        </w:rPr>
        <w:t>i ratifikovanim međunarodnim ugovorima</w:t>
      </w:r>
      <w:r w:rsidR="002C0A38">
        <w:rPr>
          <w:sz w:val="24"/>
          <w:szCs w:val="24"/>
          <w:lang w:val="sr-Latn-RS"/>
        </w:rPr>
        <w:t xml:space="preserve"> i </w:t>
      </w:r>
      <w:r w:rsidR="00AD3AD4" w:rsidRPr="00790395">
        <w:rPr>
          <w:sz w:val="24"/>
          <w:szCs w:val="24"/>
          <w:lang w:val="sr-Latn-RS"/>
        </w:rPr>
        <w:t>da su direktno primen</w:t>
      </w:r>
      <w:r w:rsidR="00EB11E5">
        <w:rPr>
          <w:sz w:val="24"/>
          <w:szCs w:val="24"/>
          <w:lang w:val="sr-Latn-RS"/>
        </w:rPr>
        <w:t>l</w:t>
      </w:r>
      <w:r w:rsidR="00AD3AD4" w:rsidRPr="00790395">
        <w:rPr>
          <w:sz w:val="24"/>
          <w:szCs w:val="24"/>
          <w:lang w:val="sr-Latn-RS"/>
        </w:rPr>
        <w:t xml:space="preserve">jiva. Štaviše, isti član propisuje </w:t>
      </w:r>
      <w:r w:rsidR="00306303">
        <w:rPr>
          <w:sz w:val="24"/>
          <w:szCs w:val="24"/>
          <w:lang w:val="sr-Latn-RS"/>
        </w:rPr>
        <w:t>da bi</w:t>
      </w:r>
      <w:r w:rsidR="00AD3AD4" w:rsidRPr="00790395">
        <w:rPr>
          <w:sz w:val="24"/>
          <w:szCs w:val="24"/>
          <w:lang w:val="sr-Latn-RS"/>
        </w:rPr>
        <w:t xml:space="preserve"> ljudska</w:t>
      </w:r>
      <w:r w:rsidR="002C0A38">
        <w:rPr>
          <w:sz w:val="24"/>
          <w:szCs w:val="24"/>
          <w:lang w:val="sr-Latn-RS"/>
        </w:rPr>
        <w:t xml:space="preserve"> i </w:t>
      </w:r>
      <w:r w:rsidR="00AD3AD4" w:rsidRPr="00790395">
        <w:rPr>
          <w:sz w:val="24"/>
          <w:szCs w:val="24"/>
          <w:lang w:val="sr-Latn-RS"/>
        </w:rPr>
        <w:t xml:space="preserve">manjinska prava </w:t>
      </w:r>
      <w:r w:rsidR="00306303">
        <w:rPr>
          <w:sz w:val="24"/>
          <w:szCs w:val="24"/>
          <w:lang w:val="sr-Latn-RS"/>
        </w:rPr>
        <w:t xml:space="preserve">trebalo da se </w:t>
      </w:r>
      <w:r w:rsidR="00AD3AD4" w:rsidRPr="00790395">
        <w:rPr>
          <w:sz w:val="24"/>
          <w:szCs w:val="24"/>
          <w:lang w:val="sr-Latn-RS"/>
        </w:rPr>
        <w:t xml:space="preserve">tumače </w:t>
      </w:r>
      <w:r w:rsidR="009D35B2" w:rsidRPr="00790395">
        <w:rPr>
          <w:sz w:val="24"/>
          <w:szCs w:val="24"/>
          <w:lang w:val="sr-Latn-RS"/>
        </w:rPr>
        <w:t>„saglasno […] praksi međunarodnih institucija koje nadziru njihovo sprovođenje“.</w:t>
      </w:r>
      <w:r w:rsidR="009D35B2" w:rsidRPr="00790395">
        <w:rPr>
          <w:sz w:val="24"/>
          <w:szCs w:val="24"/>
          <w:vertAlign w:val="superscript"/>
          <w:lang w:val="sr-Latn-RS"/>
        </w:rPr>
        <w:footnoteReference w:id="4"/>
      </w:r>
    </w:p>
    <w:p w14:paraId="56BF5283" w14:textId="5607D615" w:rsidR="009B3885" w:rsidRPr="00790395" w:rsidRDefault="009D35B2" w:rsidP="00627234">
      <w:pPr>
        <w:pStyle w:val="Heading2"/>
        <w:spacing w:before="100" w:beforeAutospacing="1" w:after="100" w:afterAutospacing="1" w:line="240" w:lineRule="auto"/>
        <w:rPr>
          <w:b w:val="0"/>
          <w:bCs/>
          <w:sz w:val="24"/>
          <w:szCs w:val="24"/>
          <w:u w:val="single"/>
          <w:lang w:val="sr-Latn-RS"/>
        </w:rPr>
      </w:pPr>
      <w:bookmarkStart w:id="2" w:name="_Toc93689879"/>
      <w:r w:rsidRPr="00790395">
        <w:rPr>
          <w:b w:val="0"/>
          <w:bCs/>
          <w:sz w:val="24"/>
          <w:szCs w:val="24"/>
          <w:u w:val="single"/>
          <w:lang w:val="sr-Latn-RS"/>
        </w:rPr>
        <w:t>Uvođenje mera št</w:t>
      </w:r>
      <w:r w:rsidR="0067694E">
        <w:rPr>
          <w:b w:val="0"/>
          <w:bCs/>
          <w:sz w:val="24"/>
          <w:szCs w:val="24"/>
          <w:u w:val="single"/>
          <w:lang w:val="sr-Latn-RS"/>
        </w:rPr>
        <w:t>e</w:t>
      </w:r>
      <w:r w:rsidRPr="00790395">
        <w:rPr>
          <w:b w:val="0"/>
          <w:bCs/>
          <w:sz w:val="24"/>
          <w:szCs w:val="24"/>
          <w:u w:val="single"/>
          <w:lang w:val="sr-Latn-RS"/>
        </w:rPr>
        <w:t>dnje 2014. godine</w:t>
      </w:r>
      <w:bookmarkEnd w:id="2"/>
    </w:p>
    <w:p w14:paraId="2DC3F1F0" w14:textId="3BB6A0FE" w:rsidR="009D35B2" w:rsidRPr="0067694E" w:rsidRDefault="009D35B2" w:rsidP="00D06744">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67694E">
        <w:rPr>
          <w:color w:val="000000"/>
          <w:sz w:val="24"/>
          <w:szCs w:val="24"/>
          <w:lang w:val="sr-Latn-RS"/>
        </w:rPr>
        <w:t>Od 2014. godine, Srbija je uvela mere štednje koj</w:t>
      </w:r>
      <w:r w:rsidR="00306303" w:rsidRPr="0067694E">
        <w:rPr>
          <w:color w:val="000000"/>
          <w:sz w:val="24"/>
          <w:szCs w:val="24"/>
          <w:lang w:val="sr-Latn-RS"/>
        </w:rPr>
        <w:t>e</w:t>
      </w:r>
      <w:r w:rsidRPr="0067694E">
        <w:rPr>
          <w:color w:val="000000"/>
          <w:sz w:val="24"/>
          <w:szCs w:val="24"/>
          <w:lang w:val="sr-Latn-RS"/>
        </w:rPr>
        <w:t xml:space="preserve"> imaju </w:t>
      </w:r>
      <w:r w:rsidR="00306303" w:rsidRPr="0067694E">
        <w:rPr>
          <w:color w:val="000000"/>
          <w:sz w:val="24"/>
          <w:szCs w:val="24"/>
          <w:lang w:val="sr-Latn-RS"/>
        </w:rPr>
        <w:t>nesrazmeran</w:t>
      </w:r>
      <w:r w:rsidRPr="0067694E">
        <w:rPr>
          <w:color w:val="000000"/>
          <w:sz w:val="24"/>
          <w:szCs w:val="24"/>
          <w:lang w:val="sr-Latn-RS"/>
        </w:rPr>
        <w:t xml:space="preserve"> uticaj na najugroženije članove društva. Ove mere su uvedene bez adekvatnih konsultacija sa grupama na koje najviše utiču</w:t>
      </w:r>
      <w:r w:rsidR="002C0A38" w:rsidRPr="0067694E">
        <w:rPr>
          <w:color w:val="000000"/>
          <w:sz w:val="24"/>
          <w:szCs w:val="24"/>
          <w:lang w:val="sr-Latn-RS"/>
        </w:rPr>
        <w:t xml:space="preserve"> i </w:t>
      </w:r>
      <w:r w:rsidRPr="0067694E">
        <w:rPr>
          <w:color w:val="000000"/>
          <w:sz w:val="24"/>
          <w:szCs w:val="24"/>
          <w:lang w:val="sr-Latn-RS"/>
        </w:rPr>
        <w:t>njihovim učešćem, uz nedostatak jasnih</w:t>
      </w:r>
      <w:r w:rsidR="002C0A38" w:rsidRPr="0067694E">
        <w:rPr>
          <w:color w:val="000000"/>
          <w:sz w:val="24"/>
          <w:szCs w:val="24"/>
          <w:lang w:val="sr-Latn-RS"/>
        </w:rPr>
        <w:t xml:space="preserve"> i </w:t>
      </w:r>
      <w:r w:rsidRPr="0067694E">
        <w:rPr>
          <w:color w:val="000000"/>
          <w:sz w:val="24"/>
          <w:szCs w:val="24"/>
          <w:lang w:val="sr-Latn-RS"/>
        </w:rPr>
        <w:t>fukcionalnih javnih politika za socijalnu zaštitu</w:t>
      </w:r>
      <w:r w:rsidR="002C0A38" w:rsidRPr="0067694E">
        <w:rPr>
          <w:color w:val="000000"/>
          <w:sz w:val="24"/>
          <w:szCs w:val="24"/>
          <w:lang w:val="sr-Latn-RS"/>
        </w:rPr>
        <w:t xml:space="preserve"> i </w:t>
      </w:r>
      <w:r w:rsidRPr="0067694E">
        <w:rPr>
          <w:color w:val="000000"/>
          <w:sz w:val="24"/>
          <w:szCs w:val="24"/>
          <w:lang w:val="sr-Latn-RS"/>
        </w:rPr>
        <w:t xml:space="preserve">smanjenje siromaštva. </w:t>
      </w:r>
      <w:r w:rsidR="00435832" w:rsidRPr="0067694E">
        <w:rPr>
          <w:color w:val="000000"/>
          <w:sz w:val="24"/>
          <w:szCs w:val="24"/>
          <w:lang w:val="sr-Latn-RS"/>
        </w:rPr>
        <w:t>U sklopu mera je povećan porez na dodatu vrednost, kroz izmene Zakona o porezu na dodatu vrednost,</w:t>
      </w:r>
      <w:r w:rsidR="00435832" w:rsidRPr="0067694E">
        <w:rPr>
          <w:color w:val="000000"/>
          <w:sz w:val="24"/>
          <w:szCs w:val="24"/>
          <w:vertAlign w:val="superscript"/>
          <w:lang w:val="sr-Latn-RS"/>
        </w:rPr>
        <w:footnoteReference w:id="5"/>
      </w:r>
      <w:r w:rsidR="00435832" w:rsidRPr="0067694E">
        <w:rPr>
          <w:color w:val="000000"/>
          <w:sz w:val="24"/>
          <w:szCs w:val="24"/>
          <w:lang w:val="sr-Latn-RS"/>
        </w:rPr>
        <w:t xml:space="preserve"> te izmen</w:t>
      </w:r>
      <w:r w:rsidR="00EB11E5" w:rsidRPr="0067694E">
        <w:rPr>
          <w:color w:val="000000"/>
          <w:sz w:val="24"/>
          <w:szCs w:val="24"/>
          <w:lang w:val="sr-Latn-RS"/>
        </w:rPr>
        <w:t>jen</w:t>
      </w:r>
      <w:r w:rsidR="00435832" w:rsidRPr="0067694E">
        <w:rPr>
          <w:color w:val="000000"/>
          <w:sz w:val="24"/>
          <w:szCs w:val="24"/>
          <w:lang w:val="sr-Latn-RS"/>
        </w:rPr>
        <w:t xml:space="preserve"> Zakon o porezima na imovinu,</w:t>
      </w:r>
      <w:r w:rsidR="00435832" w:rsidRPr="0067694E">
        <w:rPr>
          <w:color w:val="000000"/>
          <w:sz w:val="24"/>
          <w:szCs w:val="24"/>
          <w:vertAlign w:val="superscript"/>
          <w:lang w:val="sr-Latn-RS"/>
        </w:rPr>
        <w:footnoteReference w:id="6"/>
      </w:r>
      <w:r w:rsidR="00435832" w:rsidRPr="0067694E">
        <w:rPr>
          <w:color w:val="000000"/>
          <w:sz w:val="24"/>
          <w:szCs w:val="24"/>
          <w:lang w:val="sr-Latn-RS"/>
        </w:rPr>
        <w:t xml:space="preserve"> kojim se, između ostalog, oporezuje socijalno stanovanje.</w:t>
      </w:r>
      <w:r w:rsidR="001D4A56" w:rsidRPr="0067694E">
        <w:rPr>
          <w:color w:val="000000"/>
          <w:sz w:val="24"/>
          <w:szCs w:val="24"/>
          <w:lang w:val="sr-Latn-RS"/>
        </w:rPr>
        <w:t xml:space="preserve"> Još jedna važna karakteristika uvedenih mera </w:t>
      </w:r>
      <w:r w:rsidR="00937DB1" w:rsidRPr="0067694E">
        <w:rPr>
          <w:color w:val="000000"/>
          <w:sz w:val="24"/>
          <w:szCs w:val="24"/>
          <w:lang w:val="sr-Latn-RS"/>
        </w:rPr>
        <w:t>štednje bil</w:t>
      </w:r>
      <w:r w:rsidR="00306303" w:rsidRPr="0067694E">
        <w:rPr>
          <w:color w:val="000000"/>
          <w:sz w:val="24"/>
          <w:szCs w:val="24"/>
          <w:lang w:val="sr-Latn-RS"/>
        </w:rPr>
        <w:t>a</w:t>
      </w:r>
      <w:r w:rsidR="00937DB1" w:rsidRPr="0067694E">
        <w:rPr>
          <w:color w:val="000000"/>
          <w:sz w:val="24"/>
          <w:szCs w:val="24"/>
          <w:lang w:val="sr-Latn-RS"/>
        </w:rPr>
        <w:t xml:space="preserve"> je smanjenje penzija velikom broju penzionera u Srbiji. </w:t>
      </w:r>
      <w:r w:rsidR="00E80065" w:rsidRPr="0067694E">
        <w:rPr>
          <w:color w:val="000000"/>
          <w:sz w:val="24"/>
          <w:szCs w:val="24"/>
          <w:lang w:val="sr-Latn-RS"/>
        </w:rPr>
        <w:t>Smanjenje penzija je uvedeno Zakonom o privremenom uređivanju načina isplate penzija.</w:t>
      </w:r>
      <w:r w:rsidR="00011DCC" w:rsidRPr="0067694E">
        <w:rPr>
          <w:color w:val="000000"/>
          <w:sz w:val="24"/>
          <w:szCs w:val="24"/>
          <w:vertAlign w:val="superscript"/>
          <w:lang w:val="sr-Latn-RS"/>
        </w:rPr>
        <w:footnoteReference w:id="7"/>
      </w:r>
      <w:r w:rsidR="00E80065" w:rsidRPr="0067694E">
        <w:rPr>
          <w:color w:val="000000"/>
          <w:sz w:val="24"/>
          <w:szCs w:val="24"/>
          <w:lang w:val="sr-Latn-RS"/>
        </w:rPr>
        <w:t xml:space="preserve"> Najzad, u avgustu 2015. godine usvojen je Zako</w:t>
      </w:r>
      <w:r w:rsidR="00735EDC" w:rsidRPr="0067694E">
        <w:rPr>
          <w:color w:val="000000"/>
          <w:sz w:val="24"/>
          <w:szCs w:val="24"/>
          <w:lang w:val="sr-Latn-RS"/>
        </w:rPr>
        <w:t>n</w:t>
      </w:r>
      <w:r w:rsidR="00E80065" w:rsidRPr="0067694E">
        <w:rPr>
          <w:color w:val="000000"/>
          <w:sz w:val="24"/>
          <w:szCs w:val="24"/>
          <w:lang w:val="sr-Latn-RS"/>
        </w:rPr>
        <w:t xml:space="preserve"> o</w:t>
      </w:r>
      <w:r w:rsidR="00735EDC" w:rsidRPr="0067694E">
        <w:rPr>
          <w:color w:val="000000"/>
          <w:sz w:val="24"/>
          <w:szCs w:val="24"/>
          <w:lang w:val="sr-Latn-RS"/>
        </w:rPr>
        <w:t xml:space="preserve"> načinu utvrđivanja maksimalnog broja zaposlenih u javnom sektoru.</w:t>
      </w:r>
      <w:r w:rsidR="00011DCC" w:rsidRPr="0067694E">
        <w:rPr>
          <w:color w:val="000000"/>
          <w:sz w:val="24"/>
          <w:szCs w:val="24"/>
          <w:vertAlign w:val="superscript"/>
          <w:lang w:val="sr-Latn-RS"/>
        </w:rPr>
        <w:footnoteReference w:id="8"/>
      </w:r>
      <w:r w:rsidR="00011DCC" w:rsidRPr="0067694E">
        <w:rPr>
          <w:color w:val="000000"/>
          <w:sz w:val="24"/>
          <w:szCs w:val="24"/>
          <w:lang w:val="sr-Latn-RS"/>
        </w:rPr>
        <w:t xml:space="preserve"> </w:t>
      </w:r>
      <w:r w:rsidR="0012768F" w:rsidRPr="0067694E">
        <w:rPr>
          <w:sz w:val="24"/>
          <w:szCs w:val="24"/>
          <w:lang w:val="sr-Latn-RS"/>
        </w:rPr>
        <w:t xml:space="preserve">Ovaj poslednji zakon je rezultirao velikim viškovima u javnom sektoru, što je uticalo na najmanje 37.900 </w:t>
      </w:r>
      <w:r w:rsidR="000A6DBC" w:rsidRPr="0067694E">
        <w:rPr>
          <w:sz w:val="24"/>
          <w:szCs w:val="24"/>
          <w:lang w:val="sr-Latn-RS"/>
        </w:rPr>
        <w:t xml:space="preserve">osoba </w:t>
      </w:r>
      <w:r w:rsidR="0012768F" w:rsidRPr="0067694E">
        <w:rPr>
          <w:sz w:val="24"/>
          <w:szCs w:val="24"/>
          <w:lang w:val="sr-Latn-RS"/>
        </w:rPr>
        <w:t>zaposlenih na neodređeno vreme,</w:t>
      </w:r>
      <w:r w:rsidR="0012768F" w:rsidRPr="0067694E">
        <w:rPr>
          <w:color w:val="000000"/>
          <w:sz w:val="24"/>
          <w:szCs w:val="24"/>
          <w:vertAlign w:val="superscript"/>
          <w:lang w:val="sr-Latn-RS"/>
        </w:rPr>
        <w:footnoteReference w:id="9"/>
      </w:r>
      <w:r w:rsidR="0012768F" w:rsidRPr="0067694E">
        <w:rPr>
          <w:sz w:val="24"/>
          <w:szCs w:val="24"/>
          <w:lang w:val="sr-Latn-RS"/>
        </w:rPr>
        <w:t xml:space="preserve"> saopštilo je Ministarstvo državne uprave</w:t>
      </w:r>
      <w:r w:rsidR="002C0A38" w:rsidRPr="0067694E">
        <w:rPr>
          <w:sz w:val="24"/>
          <w:szCs w:val="24"/>
          <w:lang w:val="sr-Latn-RS"/>
        </w:rPr>
        <w:t xml:space="preserve"> i </w:t>
      </w:r>
      <w:r w:rsidR="0012768F" w:rsidRPr="0067694E">
        <w:rPr>
          <w:sz w:val="24"/>
          <w:szCs w:val="24"/>
          <w:lang w:val="sr-Latn-RS"/>
        </w:rPr>
        <w:t>lokalne samouprave.</w:t>
      </w:r>
      <w:r w:rsidR="00EE7400" w:rsidRPr="0067694E">
        <w:rPr>
          <w:sz w:val="24"/>
          <w:szCs w:val="24"/>
          <w:lang w:val="sr-Latn-RS"/>
        </w:rPr>
        <w:t xml:space="preserve"> Uvođenje</w:t>
      </w:r>
      <w:r w:rsidR="000C5763" w:rsidRPr="0067694E">
        <w:rPr>
          <w:sz w:val="24"/>
          <w:szCs w:val="24"/>
          <w:lang w:val="sr-Latn-RS"/>
        </w:rPr>
        <w:t xml:space="preserve"> kategorije</w:t>
      </w:r>
      <w:r w:rsidR="00EE7400" w:rsidRPr="0067694E">
        <w:rPr>
          <w:sz w:val="24"/>
          <w:szCs w:val="24"/>
          <w:lang w:val="sr-Latn-RS"/>
        </w:rPr>
        <w:t xml:space="preserve"> viška</w:t>
      </w:r>
      <w:r w:rsidR="000C5763" w:rsidRPr="0067694E">
        <w:rPr>
          <w:sz w:val="24"/>
          <w:szCs w:val="24"/>
          <w:lang w:val="sr-Latn-RS"/>
        </w:rPr>
        <w:t xml:space="preserve"> radne snage</w:t>
      </w:r>
      <w:r w:rsidR="00EE7400" w:rsidRPr="0067694E">
        <w:rPr>
          <w:sz w:val="24"/>
          <w:szCs w:val="24"/>
          <w:lang w:val="sr-Latn-RS"/>
        </w:rPr>
        <w:t xml:space="preserve"> u javn</w:t>
      </w:r>
      <w:r w:rsidR="00306303" w:rsidRPr="0067694E">
        <w:rPr>
          <w:sz w:val="24"/>
          <w:szCs w:val="24"/>
          <w:lang w:val="sr-Latn-RS"/>
        </w:rPr>
        <w:t>om</w:t>
      </w:r>
      <w:r w:rsidR="00EE7400" w:rsidRPr="0067694E">
        <w:rPr>
          <w:sz w:val="24"/>
          <w:szCs w:val="24"/>
          <w:lang w:val="sr-Latn-RS"/>
        </w:rPr>
        <w:t xml:space="preserve"> sektor</w:t>
      </w:r>
      <w:r w:rsidR="00306303" w:rsidRPr="0067694E">
        <w:rPr>
          <w:sz w:val="24"/>
          <w:szCs w:val="24"/>
          <w:lang w:val="sr-Latn-RS"/>
        </w:rPr>
        <w:t>u</w:t>
      </w:r>
      <w:r w:rsidR="00EE7400" w:rsidRPr="0067694E">
        <w:rPr>
          <w:sz w:val="24"/>
          <w:szCs w:val="24"/>
          <w:lang w:val="sr-Latn-RS"/>
        </w:rPr>
        <w:t xml:space="preserve"> nije bilo propraćeno niti analizom uticaja na ljudska prava niti </w:t>
      </w:r>
      <w:r w:rsidR="00EE7400" w:rsidRPr="0067694E">
        <w:rPr>
          <w:i/>
          <w:iCs/>
          <w:sz w:val="24"/>
          <w:szCs w:val="24"/>
          <w:lang w:val="sr-Latn-RS"/>
        </w:rPr>
        <w:t>ex-ante</w:t>
      </w:r>
      <w:r w:rsidR="00EE7400" w:rsidRPr="0067694E">
        <w:rPr>
          <w:sz w:val="24"/>
          <w:szCs w:val="24"/>
          <w:lang w:val="sr-Latn-RS"/>
        </w:rPr>
        <w:t xml:space="preserve"> </w:t>
      </w:r>
      <w:r w:rsidR="00D44B69" w:rsidRPr="0067694E">
        <w:rPr>
          <w:sz w:val="24"/>
          <w:szCs w:val="24"/>
          <w:lang w:val="sr-Latn-RS"/>
        </w:rPr>
        <w:t xml:space="preserve">rodnom </w:t>
      </w:r>
      <w:r w:rsidR="00EE7400" w:rsidRPr="0067694E">
        <w:rPr>
          <w:sz w:val="24"/>
          <w:szCs w:val="24"/>
          <w:lang w:val="sr-Latn-RS"/>
        </w:rPr>
        <w:t xml:space="preserve">analizom uticaja </w:t>
      </w:r>
      <w:r w:rsidR="00D44B69" w:rsidRPr="0067694E">
        <w:rPr>
          <w:sz w:val="24"/>
          <w:szCs w:val="24"/>
          <w:lang w:val="sr-Latn-RS"/>
        </w:rPr>
        <w:t xml:space="preserve">ovih mera. Zbog toga je ovaj Zakon imao </w:t>
      </w:r>
      <w:r w:rsidR="00306303" w:rsidRPr="0067694E">
        <w:rPr>
          <w:sz w:val="24"/>
          <w:szCs w:val="24"/>
          <w:lang w:val="sr-Latn-RS"/>
        </w:rPr>
        <w:t>nesrazmerno</w:t>
      </w:r>
      <w:r w:rsidR="00D44B69" w:rsidRPr="0067694E">
        <w:rPr>
          <w:sz w:val="24"/>
          <w:szCs w:val="24"/>
          <w:lang w:val="sr-Latn-RS"/>
        </w:rPr>
        <w:t xml:space="preserve"> </w:t>
      </w:r>
      <w:r w:rsidR="00D44B69" w:rsidRPr="0067694E">
        <w:rPr>
          <w:sz w:val="24"/>
          <w:szCs w:val="24"/>
          <w:lang w:val="sr-Latn-RS"/>
        </w:rPr>
        <w:lastRenderedPageBreak/>
        <w:t>negativan uticaj na žene,</w:t>
      </w:r>
      <w:r w:rsidR="00D44B69" w:rsidRPr="0067694E">
        <w:rPr>
          <w:color w:val="000000"/>
          <w:sz w:val="24"/>
          <w:szCs w:val="24"/>
          <w:vertAlign w:val="superscript"/>
          <w:lang w:val="sr-Latn-RS"/>
        </w:rPr>
        <w:footnoteReference w:id="10"/>
      </w:r>
      <w:r w:rsidR="00D44B69" w:rsidRPr="0067694E">
        <w:rPr>
          <w:color w:val="000000"/>
          <w:sz w:val="24"/>
          <w:szCs w:val="24"/>
          <w:lang w:val="sr-Latn-RS"/>
        </w:rPr>
        <w:t xml:space="preserve"> </w:t>
      </w:r>
      <w:r w:rsidR="00D44B69" w:rsidRPr="0067694E">
        <w:rPr>
          <w:sz w:val="24"/>
          <w:szCs w:val="24"/>
          <w:lang w:val="sr-Latn-RS"/>
        </w:rPr>
        <w:t>imajući u vidu da žene čine većinu zaposlenih u javnom sektoru.</w:t>
      </w:r>
      <w:r w:rsidR="00617A36" w:rsidRPr="0067694E">
        <w:rPr>
          <w:sz w:val="24"/>
          <w:szCs w:val="24"/>
          <w:lang w:val="sr-Latn-RS"/>
        </w:rPr>
        <w:t xml:space="preserve"> Primera radi, prema podacima Republičkog zavoda za statistiku Srbije iz 2017. godine, žene čine gotovo 80% zaposlenih u centrima za socijalni rad, više od 70% u obrazovanju,</w:t>
      </w:r>
      <w:r w:rsidR="002C0A38" w:rsidRPr="0067694E">
        <w:rPr>
          <w:sz w:val="24"/>
          <w:szCs w:val="24"/>
          <w:lang w:val="sr-Latn-RS"/>
        </w:rPr>
        <w:t xml:space="preserve"> i </w:t>
      </w:r>
      <w:r w:rsidR="00617A36" w:rsidRPr="0067694E">
        <w:rPr>
          <w:sz w:val="24"/>
          <w:szCs w:val="24"/>
          <w:lang w:val="sr-Latn-RS"/>
        </w:rPr>
        <w:t>otprilike 70% zaposlenih u sudstvu.</w:t>
      </w:r>
      <w:r w:rsidR="00617A36" w:rsidRPr="0067694E">
        <w:rPr>
          <w:color w:val="000000"/>
          <w:sz w:val="24"/>
          <w:szCs w:val="24"/>
          <w:vertAlign w:val="superscript"/>
          <w:lang w:val="sr-Latn-RS"/>
        </w:rPr>
        <w:footnoteReference w:id="11"/>
      </w:r>
    </w:p>
    <w:p w14:paraId="04CD3E3D" w14:textId="2FBCA71C" w:rsidR="00D06744" w:rsidRPr="00790395" w:rsidRDefault="00A41E6E" w:rsidP="00D06744">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790395">
        <w:rPr>
          <w:color w:val="000000"/>
          <w:sz w:val="24"/>
          <w:szCs w:val="24"/>
          <w:lang w:val="sr-Latn-RS"/>
        </w:rPr>
        <w:t xml:space="preserve">Nakon uvođenja mera štednje, država ugovornica je </w:t>
      </w:r>
      <w:r w:rsidRPr="00790395">
        <w:rPr>
          <w:b/>
          <w:bCs/>
          <w:color w:val="000000"/>
          <w:sz w:val="24"/>
          <w:szCs w:val="24"/>
          <w:lang w:val="sr-Latn-RS"/>
        </w:rPr>
        <w:t>propustila da prioritizuje najugroženije članove društva,</w:t>
      </w:r>
      <w:r w:rsidR="002C0A38">
        <w:rPr>
          <w:color w:val="000000"/>
          <w:sz w:val="24"/>
          <w:szCs w:val="24"/>
          <w:lang w:val="sr-Latn-RS"/>
        </w:rPr>
        <w:t xml:space="preserve"> i </w:t>
      </w:r>
      <w:r w:rsidRPr="00790395">
        <w:rPr>
          <w:color w:val="000000"/>
          <w:sz w:val="24"/>
          <w:szCs w:val="24"/>
          <w:lang w:val="sr-Latn-RS"/>
        </w:rPr>
        <w:t>čak sa obrazloženim ograničenjima resursa, država je imala druge prioritete</w:t>
      </w:r>
      <w:r w:rsidR="008C0DA0" w:rsidRPr="00790395">
        <w:rPr>
          <w:color w:val="000000"/>
          <w:sz w:val="24"/>
          <w:szCs w:val="24"/>
          <w:lang w:val="sr-Latn-RS"/>
        </w:rPr>
        <w:t>.</w:t>
      </w:r>
      <w:r w:rsidRPr="00790395">
        <w:rPr>
          <w:color w:val="000000"/>
          <w:sz w:val="24"/>
          <w:szCs w:val="24"/>
          <w:lang w:val="sr-Latn-RS"/>
        </w:rPr>
        <w:t xml:space="preserve"> Iako je 2019. godine postojao značajan fiskalni prostor (oko 50 milijardi dinara), </w:t>
      </w:r>
      <w:r w:rsidR="0011105E" w:rsidRPr="00790395">
        <w:rPr>
          <w:color w:val="000000"/>
          <w:sz w:val="24"/>
          <w:szCs w:val="24"/>
          <w:lang w:val="sr-Latn-RS"/>
        </w:rPr>
        <w:t xml:space="preserve">država je propustila da uvede </w:t>
      </w:r>
      <w:r w:rsidR="002364F9">
        <w:rPr>
          <w:color w:val="000000"/>
          <w:sz w:val="24"/>
          <w:szCs w:val="24"/>
          <w:lang w:val="sr-Latn-RS"/>
        </w:rPr>
        <w:t>mere za</w:t>
      </w:r>
      <w:r w:rsidR="0011105E" w:rsidRPr="00790395">
        <w:rPr>
          <w:color w:val="000000"/>
          <w:sz w:val="24"/>
          <w:szCs w:val="24"/>
          <w:lang w:val="sr-Latn-RS"/>
        </w:rPr>
        <w:t xml:space="preserve"> ostvarivanj</w:t>
      </w:r>
      <w:r w:rsidR="002364F9">
        <w:rPr>
          <w:color w:val="000000"/>
          <w:sz w:val="24"/>
          <w:szCs w:val="24"/>
          <w:lang w:val="sr-Latn-RS"/>
        </w:rPr>
        <w:t>e</w:t>
      </w:r>
      <w:r w:rsidR="0011105E" w:rsidRPr="00790395">
        <w:rPr>
          <w:color w:val="000000"/>
          <w:sz w:val="24"/>
          <w:szCs w:val="24"/>
          <w:lang w:val="sr-Latn-RS"/>
        </w:rPr>
        <w:t xml:space="preserve"> prava</w:t>
      </w:r>
      <w:r w:rsidR="002364F9">
        <w:rPr>
          <w:color w:val="000000"/>
          <w:sz w:val="24"/>
          <w:szCs w:val="24"/>
          <w:lang w:val="sr-Latn-RS"/>
        </w:rPr>
        <w:t>. Štaviše,</w:t>
      </w:r>
      <w:r w:rsidR="0011105E" w:rsidRPr="00790395">
        <w:rPr>
          <w:color w:val="000000"/>
          <w:sz w:val="24"/>
          <w:szCs w:val="24"/>
          <w:lang w:val="sr-Latn-RS"/>
        </w:rPr>
        <w:t xml:space="preserve"> </w:t>
      </w:r>
      <w:r w:rsidR="002364F9">
        <w:rPr>
          <w:color w:val="000000"/>
          <w:sz w:val="24"/>
          <w:szCs w:val="24"/>
          <w:lang w:val="sr-Latn-RS"/>
        </w:rPr>
        <w:t>uvela je</w:t>
      </w:r>
      <w:r w:rsidR="0011105E" w:rsidRPr="00790395">
        <w:rPr>
          <w:color w:val="000000"/>
          <w:sz w:val="24"/>
          <w:szCs w:val="24"/>
          <w:lang w:val="sr-Latn-RS"/>
        </w:rPr>
        <w:t xml:space="preserve"> regresivne mere, kao što su uvećanje troškova za vojne svrhe (više od 10 milijardi dinara), </w:t>
      </w:r>
      <w:r w:rsidR="002364F9">
        <w:rPr>
          <w:color w:val="000000"/>
          <w:sz w:val="24"/>
          <w:szCs w:val="24"/>
          <w:lang w:val="sr-Latn-RS"/>
        </w:rPr>
        <w:t xml:space="preserve">i </w:t>
      </w:r>
      <w:r w:rsidR="0011105E" w:rsidRPr="00790395">
        <w:rPr>
          <w:color w:val="000000"/>
          <w:sz w:val="24"/>
          <w:szCs w:val="24"/>
          <w:lang w:val="sr-Latn-RS"/>
        </w:rPr>
        <w:t>jednokratn</w:t>
      </w:r>
      <w:r w:rsidR="00EB11E5">
        <w:rPr>
          <w:color w:val="000000"/>
          <w:sz w:val="24"/>
          <w:szCs w:val="24"/>
          <w:lang w:val="sr-Latn-RS"/>
        </w:rPr>
        <w:t>u</w:t>
      </w:r>
      <w:r w:rsidR="0011105E" w:rsidRPr="00790395">
        <w:rPr>
          <w:color w:val="000000"/>
          <w:sz w:val="24"/>
          <w:szCs w:val="24"/>
          <w:lang w:val="sr-Latn-RS"/>
        </w:rPr>
        <w:t xml:space="preserve"> novčan</w:t>
      </w:r>
      <w:r w:rsidR="00EB11E5">
        <w:rPr>
          <w:color w:val="000000"/>
          <w:sz w:val="24"/>
          <w:szCs w:val="24"/>
          <w:lang w:val="sr-Latn-RS"/>
        </w:rPr>
        <w:t>u</w:t>
      </w:r>
      <w:r w:rsidR="0011105E" w:rsidRPr="00790395">
        <w:rPr>
          <w:color w:val="000000"/>
          <w:sz w:val="24"/>
          <w:szCs w:val="24"/>
          <w:lang w:val="sr-Latn-RS"/>
        </w:rPr>
        <w:t xml:space="preserve"> pomoć za sve penzionere (oko 9 milijardi dinara).</w:t>
      </w:r>
      <w:r w:rsidR="0011105E" w:rsidRPr="00790395">
        <w:rPr>
          <w:sz w:val="24"/>
          <w:szCs w:val="24"/>
          <w:highlight w:val="white"/>
          <w:vertAlign w:val="superscript"/>
          <w:lang w:val="sr-Latn-RS"/>
        </w:rPr>
        <w:footnoteReference w:id="12"/>
      </w:r>
      <w:r w:rsidR="00E27462" w:rsidRPr="00790395">
        <w:rPr>
          <w:color w:val="000000"/>
          <w:sz w:val="24"/>
          <w:szCs w:val="24"/>
          <w:lang w:val="sr-Latn-RS"/>
        </w:rPr>
        <w:t xml:space="preserve"> Primera radi, čak</w:t>
      </w:r>
      <w:r w:rsidR="002C0A38">
        <w:rPr>
          <w:color w:val="000000"/>
          <w:sz w:val="24"/>
          <w:szCs w:val="24"/>
          <w:lang w:val="sr-Latn-RS"/>
        </w:rPr>
        <w:t xml:space="preserve"> i </w:t>
      </w:r>
      <w:r w:rsidR="00E27462" w:rsidRPr="00790395">
        <w:rPr>
          <w:color w:val="000000"/>
          <w:sz w:val="24"/>
          <w:szCs w:val="24"/>
          <w:lang w:val="sr-Latn-RS"/>
        </w:rPr>
        <w:t>u poslednjem usvojenom Zakonu o budžetu Republike Srbije za 2022. godinu su plate u javnom sektoru uvećane za 7% dok je budžet za vojsku uvećan za 8%.</w:t>
      </w:r>
    </w:p>
    <w:p w14:paraId="45234150" w14:textId="3352DB4D" w:rsidR="00945845" w:rsidRPr="00790395" w:rsidRDefault="00E27462" w:rsidP="00945845">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2364F9">
        <w:rPr>
          <w:b/>
          <w:bCs/>
          <w:color w:val="000000"/>
          <w:sz w:val="24"/>
          <w:szCs w:val="24"/>
          <w:lang w:val="sr-Latn-RS"/>
        </w:rPr>
        <w:t>Budžetska sredstva</w:t>
      </w:r>
      <w:r w:rsidRPr="00790395">
        <w:rPr>
          <w:color w:val="000000"/>
          <w:sz w:val="24"/>
          <w:szCs w:val="24"/>
          <w:lang w:val="sr-Latn-RS"/>
        </w:rPr>
        <w:t xml:space="preserve"> u Srbiji se uglavnom prikupljaju kroz regresivne poreze, </w:t>
      </w:r>
      <w:r w:rsidR="00945845" w:rsidRPr="00790395">
        <w:rPr>
          <w:color w:val="000000"/>
          <w:sz w:val="24"/>
          <w:szCs w:val="24"/>
          <w:lang w:val="sr-Latn-RS"/>
        </w:rPr>
        <w:t xml:space="preserve">koji </w:t>
      </w:r>
      <w:r w:rsidR="002364F9">
        <w:rPr>
          <w:color w:val="000000"/>
          <w:sz w:val="24"/>
          <w:szCs w:val="24"/>
          <w:lang w:val="sr-Latn-RS"/>
        </w:rPr>
        <w:t>nesrazmerno</w:t>
      </w:r>
      <w:r w:rsidR="00945845" w:rsidRPr="00790395">
        <w:rPr>
          <w:color w:val="000000"/>
          <w:sz w:val="24"/>
          <w:szCs w:val="24"/>
          <w:lang w:val="sr-Latn-RS"/>
        </w:rPr>
        <w:t xml:space="preserve"> pogađaju domaćinstva sa niskim primanjima. Iako Ustav Srbije članom 91 propisuje da je „Obaveza plaćanja poreza</w:t>
      </w:r>
      <w:r w:rsidR="002C0A38">
        <w:rPr>
          <w:color w:val="000000"/>
          <w:sz w:val="24"/>
          <w:szCs w:val="24"/>
          <w:lang w:val="sr-Latn-RS"/>
        </w:rPr>
        <w:t xml:space="preserve"> i </w:t>
      </w:r>
      <w:r w:rsidR="00945845" w:rsidRPr="00790395">
        <w:rPr>
          <w:color w:val="000000"/>
          <w:sz w:val="24"/>
          <w:szCs w:val="24"/>
          <w:lang w:val="sr-Latn-RS"/>
        </w:rPr>
        <w:t>drugih dadžbina […] opšta</w:t>
      </w:r>
      <w:r w:rsidR="002C0A38">
        <w:rPr>
          <w:color w:val="000000"/>
          <w:sz w:val="24"/>
          <w:szCs w:val="24"/>
          <w:lang w:val="sr-Latn-RS"/>
        </w:rPr>
        <w:t xml:space="preserve"> i </w:t>
      </w:r>
      <w:r w:rsidR="00945845" w:rsidRPr="00790395">
        <w:rPr>
          <w:color w:val="000000"/>
          <w:sz w:val="24"/>
          <w:szCs w:val="24"/>
          <w:lang w:val="sr-Latn-RS"/>
        </w:rPr>
        <w:t>[da se zasniva] na ekonomskoj moći obveznika“, ova odredba nije operacionalizovana u srpskom zakonodavstvu</w:t>
      </w:r>
      <w:r w:rsidR="002C0A38">
        <w:rPr>
          <w:color w:val="000000"/>
          <w:sz w:val="24"/>
          <w:szCs w:val="24"/>
          <w:lang w:val="sr-Latn-RS"/>
        </w:rPr>
        <w:t xml:space="preserve"> i </w:t>
      </w:r>
      <w:r w:rsidR="00945845" w:rsidRPr="00790395">
        <w:rPr>
          <w:color w:val="000000"/>
          <w:sz w:val="24"/>
          <w:szCs w:val="24"/>
          <w:lang w:val="sr-Latn-RS"/>
        </w:rPr>
        <w:t>većina prihoda je regresivna po svojoj prirodi.</w:t>
      </w:r>
    </w:p>
    <w:p w14:paraId="71797348" w14:textId="2A3A251E" w:rsidR="00EB11E5" w:rsidRDefault="00624FB3" w:rsidP="000A476E">
      <w:pPr>
        <w:numPr>
          <w:ilvl w:val="0"/>
          <w:numId w:val="3"/>
        </w:numPr>
        <w:pBdr>
          <w:top w:val="nil"/>
          <w:left w:val="nil"/>
          <w:bottom w:val="nil"/>
          <w:right w:val="nil"/>
          <w:between w:val="nil"/>
        </w:pBdr>
        <w:spacing w:before="100" w:beforeAutospacing="1" w:after="100" w:afterAutospacing="1" w:line="240" w:lineRule="auto"/>
        <w:ind w:left="0" w:firstLine="0"/>
        <w:jc w:val="both"/>
        <w:rPr>
          <w:bCs/>
          <w:color w:val="000000"/>
          <w:sz w:val="24"/>
          <w:szCs w:val="24"/>
          <w:lang w:val="sr-Latn-RS"/>
        </w:rPr>
      </w:pPr>
      <w:r w:rsidRPr="00790395">
        <w:rPr>
          <w:bCs/>
          <w:color w:val="000000"/>
          <w:sz w:val="24"/>
          <w:szCs w:val="24"/>
          <w:lang w:val="sr-Latn-RS"/>
        </w:rPr>
        <w:t>S</w:t>
      </w:r>
      <w:r w:rsidR="00CC27E3" w:rsidRPr="00790395">
        <w:rPr>
          <w:bCs/>
          <w:color w:val="000000"/>
          <w:sz w:val="24"/>
          <w:szCs w:val="24"/>
          <w:lang w:val="sr-Latn-RS"/>
        </w:rPr>
        <w:t>rbija ubira više of 40% svojih budžetskih sredstava kroz poreze na proizvodnju</w:t>
      </w:r>
      <w:r w:rsidR="002C0A38">
        <w:rPr>
          <w:bCs/>
          <w:color w:val="000000"/>
          <w:sz w:val="24"/>
          <w:szCs w:val="24"/>
          <w:lang w:val="sr-Latn-RS"/>
        </w:rPr>
        <w:t xml:space="preserve"> i </w:t>
      </w:r>
      <w:r w:rsidR="00CC27E3" w:rsidRPr="00790395">
        <w:rPr>
          <w:bCs/>
          <w:color w:val="000000"/>
          <w:sz w:val="24"/>
          <w:szCs w:val="24"/>
          <w:lang w:val="sr-Latn-RS"/>
        </w:rPr>
        <w:t>uvoz – PDV, akcize</w:t>
      </w:r>
      <w:r w:rsidR="002C0A38">
        <w:rPr>
          <w:bCs/>
          <w:color w:val="000000"/>
          <w:sz w:val="24"/>
          <w:szCs w:val="24"/>
          <w:lang w:val="sr-Latn-RS"/>
        </w:rPr>
        <w:t xml:space="preserve"> i </w:t>
      </w:r>
      <w:r w:rsidR="00CC27E3" w:rsidRPr="00790395">
        <w:rPr>
          <w:bCs/>
          <w:color w:val="000000"/>
          <w:sz w:val="24"/>
          <w:szCs w:val="24"/>
          <w:lang w:val="sr-Latn-RS"/>
        </w:rPr>
        <w:t xml:space="preserve">carine. Ovi prihodi su uglavnom regresivni po svojoj prirodi, što </w:t>
      </w:r>
      <w:r w:rsidR="002364F9">
        <w:rPr>
          <w:bCs/>
          <w:color w:val="000000"/>
          <w:sz w:val="24"/>
          <w:szCs w:val="24"/>
          <w:lang w:val="sr-Latn-RS"/>
        </w:rPr>
        <w:t xml:space="preserve">se </w:t>
      </w:r>
      <w:r w:rsidR="00CC27E3" w:rsidRPr="00790395">
        <w:rPr>
          <w:bCs/>
          <w:color w:val="000000"/>
          <w:sz w:val="24"/>
          <w:szCs w:val="24"/>
          <w:lang w:val="sr-Latn-RS"/>
        </w:rPr>
        <w:t xml:space="preserve">u većoj meri </w:t>
      </w:r>
      <w:r w:rsidR="002364F9">
        <w:rPr>
          <w:bCs/>
          <w:color w:val="000000"/>
          <w:sz w:val="24"/>
          <w:szCs w:val="24"/>
          <w:lang w:val="sr-Latn-RS"/>
        </w:rPr>
        <w:t>odražava</w:t>
      </w:r>
      <w:r w:rsidR="00CC27E3" w:rsidRPr="00790395">
        <w:rPr>
          <w:bCs/>
          <w:color w:val="000000"/>
          <w:sz w:val="24"/>
          <w:szCs w:val="24"/>
          <w:lang w:val="sr-Latn-RS"/>
        </w:rPr>
        <w:t xml:space="preserve"> na siromašnija domaćinstva. Dodatno, porezi na proizvodnju</w:t>
      </w:r>
      <w:r w:rsidR="002C0A38">
        <w:rPr>
          <w:bCs/>
          <w:color w:val="000000"/>
          <w:sz w:val="24"/>
          <w:szCs w:val="24"/>
          <w:lang w:val="sr-Latn-RS"/>
        </w:rPr>
        <w:t xml:space="preserve"> i </w:t>
      </w:r>
      <w:r w:rsidR="00CC27E3" w:rsidRPr="00790395">
        <w:rPr>
          <w:bCs/>
          <w:color w:val="000000"/>
          <w:sz w:val="24"/>
          <w:szCs w:val="24"/>
          <w:lang w:val="sr-Latn-RS"/>
        </w:rPr>
        <w:t>uvoz u proseku čine oko 33% prihoda u EU, značajno manje nego u Srbiji. Pored toga, Srbija ne uspeva da primeni progresivne poreze</w:t>
      </w:r>
      <w:r w:rsidR="002C0A38">
        <w:rPr>
          <w:bCs/>
          <w:color w:val="000000"/>
          <w:sz w:val="24"/>
          <w:szCs w:val="24"/>
          <w:lang w:val="sr-Latn-RS"/>
        </w:rPr>
        <w:t xml:space="preserve"> i </w:t>
      </w:r>
      <w:r w:rsidR="00CC27E3" w:rsidRPr="00790395">
        <w:rPr>
          <w:bCs/>
          <w:color w:val="000000"/>
          <w:sz w:val="24"/>
          <w:szCs w:val="24"/>
          <w:lang w:val="sr-Latn-RS"/>
        </w:rPr>
        <w:t xml:space="preserve">da mobiliše </w:t>
      </w:r>
      <w:r w:rsidR="000A476E" w:rsidRPr="00790395">
        <w:rPr>
          <w:bCs/>
          <w:color w:val="000000"/>
          <w:sz w:val="24"/>
          <w:szCs w:val="24"/>
          <w:lang w:val="sr-Latn-RS"/>
        </w:rPr>
        <w:t>maksimum raspoloživih sredstava</w:t>
      </w:r>
      <w:r w:rsidR="00CC27E3" w:rsidRPr="00790395">
        <w:rPr>
          <w:bCs/>
          <w:color w:val="000000"/>
          <w:sz w:val="24"/>
          <w:szCs w:val="24"/>
          <w:lang w:val="sr-Latn-RS"/>
        </w:rPr>
        <w:t xml:space="preserve">, kao što je slučaj sa porezom na nasledstvo, </w:t>
      </w:r>
      <w:r w:rsidR="000A476E" w:rsidRPr="00790395">
        <w:rPr>
          <w:bCs/>
          <w:color w:val="000000"/>
          <w:sz w:val="24"/>
          <w:szCs w:val="24"/>
          <w:lang w:val="sr-Latn-RS"/>
        </w:rPr>
        <w:t>čija je stopa među najnižim u Evropi</w:t>
      </w:r>
      <w:r w:rsidR="00CC27E3" w:rsidRPr="00790395">
        <w:rPr>
          <w:bCs/>
          <w:color w:val="000000"/>
          <w:sz w:val="24"/>
          <w:szCs w:val="24"/>
          <w:lang w:val="sr-Latn-RS"/>
        </w:rPr>
        <w:t xml:space="preserve">. Poređenja radi, </w:t>
      </w:r>
      <w:r w:rsidR="000C5763">
        <w:rPr>
          <w:bCs/>
          <w:color w:val="000000"/>
          <w:sz w:val="24"/>
          <w:szCs w:val="24"/>
          <w:lang w:val="sr-Latn-RS"/>
        </w:rPr>
        <w:t>fiksne</w:t>
      </w:r>
      <w:r w:rsidR="00CC27E3" w:rsidRPr="00790395">
        <w:rPr>
          <w:bCs/>
          <w:color w:val="000000"/>
          <w:sz w:val="24"/>
          <w:szCs w:val="24"/>
          <w:lang w:val="sr-Latn-RS"/>
        </w:rPr>
        <w:t xml:space="preserve"> stope poreza na nasledstvo u zemljama OECD kreću se od 4% do 40%.</w:t>
      </w:r>
      <w:r w:rsidR="000A476E" w:rsidRPr="00790395">
        <w:rPr>
          <w:color w:val="3C4043"/>
          <w:sz w:val="24"/>
          <w:szCs w:val="24"/>
          <w:vertAlign w:val="superscript"/>
          <w:lang w:val="sr-Latn-RS"/>
        </w:rPr>
        <w:footnoteReference w:id="13"/>
      </w:r>
    </w:p>
    <w:p w14:paraId="13AEC193" w14:textId="77777777" w:rsidR="00EB11E5" w:rsidRDefault="00EB11E5">
      <w:pPr>
        <w:rPr>
          <w:bCs/>
          <w:color w:val="000000"/>
          <w:sz w:val="24"/>
          <w:szCs w:val="24"/>
          <w:lang w:val="sr-Latn-RS"/>
        </w:rPr>
      </w:pPr>
      <w:r>
        <w:rPr>
          <w:bCs/>
          <w:color w:val="000000"/>
          <w:sz w:val="24"/>
          <w:szCs w:val="24"/>
          <w:lang w:val="sr-Latn-RS"/>
        </w:rPr>
        <w:br w:type="page"/>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358"/>
      </w:tblGrid>
      <w:tr w:rsidR="009B3885" w:rsidRPr="00790395" w14:paraId="7EA90107" w14:textId="77777777">
        <w:tc>
          <w:tcPr>
            <w:tcW w:w="6658" w:type="dxa"/>
          </w:tcPr>
          <w:p w14:paraId="5B487C14" w14:textId="0B8C8558" w:rsidR="009B3885" w:rsidRPr="00790395" w:rsidRDefault="00B44138" w:rsidP="00627234">
            <w:pPr>
              <w:spacing w:before="100" w:beforeAutospacing="1" w:after="100" w:afterAutospacing="1"/>
              <w:jc w:val="both"/>
              <w:rPr>
                <w:b/>
                <w:lang w:val="sr-Latn-RS"/>
              </w:rPr>
            </w:pPr>
            <w:r w:rsidRPr="00790395">
              <w:rPr>
                <w:b/>
                <w:lang w:val="sr-Latn-RS"/>
              </w:rPr>
              <w:lastRenderedPageBreak/>
              <w:t>Opšti državni prihodi</w:t>
            </w:r>
            <w:r w:rsidR="008C0DA0" w:rsidRPr="00790395">
              <w:rPr>
                <w:b/>
                <w:vertAlign w:val="superscript"/>
                <w:lang w:val="sr-Latn-RS"/>
              </w:rPr>
              <w:footnoteReference w:id="14"/>
            </w:r>
            <w:r w:rsidR="008C0DA0" w:rsidRPr="00790395">
              <w:rPr>
                <w:b/>
                <w:lang w:val="sr-Latn-RS"/>
              </w:rPr>
              <w:t xml:space="preserve"> </w:t>
            </w:r>
          </w:p>
        </w:tc>
        <w:tc>
          <w:tcPr>
            <w:tcW w:w="2358" w:type="dxa"/>
          </w:tcPr>
          <w:p w14:paraId="06CCECE7" w14:textId="4C0A6628" w:rsidR="009B3885" w:rsidRPr="00790395" w:rsidRDefault="00B44138" w:rsidP="00627234">
            <w:pPr>
              <w:spacing w:before="100" w:beforeAutospacing="1" w:after="100" w:afterAutospacing="1"/>
              <w:jc w:val="both"/>
              <w:rPr>
                <w:b/>
                <w:lang w:val="sr-Latn-RS"/>
              </w:rPr>
            </w:pPr>
            <w:r w:rsidRPr="00790395">
              <w:rPr>
                <w:b/>
                <w:lang w:val="sr-Latn-RS"/>
              </w:rPr>
              <w:t>Procenat u ukupnom budžetu</w:t>
            </w:r>
            <w:r w:rsidR="008C0DA0" w:rsidRPr="00790395">
              <w:rPr>
                <w:b/>
                <w:lang w:val="sr-Latn-RS"/>
              </w:rPr>
              <w:t xml:space="preserve"> </w:t>
            </w:r>
          </w:p>
        </w:tc>
      </w:tr>
      <w:tr w:rsidR="009B3885" w:rsidRPr="00790395" w14:paraId="080394FE" w14:textId="77777777">
        <w:tc>
          <w:tcPr>
            <w:tcW w:w="6658" w:type="dxa"/>
          </w:tcPr>
          <w:p w14:paraId="349962B4" w14:textId="40725781" w:rsidR="009B3885" w:rsidRPr="00790395" w:rsidRDefault="00297C26" w:rsidP="00627234">
            <w:pPr>
              <w:spacing w:before="100" w:beforeAutospacing="1" w:after="100" w:afterAutospacing="1"/>
              <w:jc w:val="both"/>
              <w:rPr>
                <w:b/>
                <w:lang w:val="sr-Latn-RS"/>
              </w:rPr>
            </w:pPr>
            <w:r w:rsidRPr="00790395">
              <w:rPr>
                <w:b/>
                <w:lang w:val="sr-Latn-RS"/>
              </w:rPr>
              <w:t>Porez na dohodak građana</w:t>
            </w:r>
            <w:r w:rsidR="008C0DA0" w:rsidRPr="00790395">
              <w:rPr>
                <w:b/>
                <w:lang w:val="sr-Latn-RS"/>
              </w:rPr>
              <w:t xml:space="preserve"> </w:t>
            </w:r>
          </w:p>
        </w:tc>
        <w:tc>
          <w:tcPr>
            <w:tcW w:w="2358" w:type="dxa"/>
          </w:tcPr>
          <w:p w14:paraId="7B6C6249" w14:textId="77777777" w:rsidR="009B3885" w:rsidRPr="00790395" w:rsidRDefault="008C0DA0" w:rsidP="00627234">
            <w:pPr>
              <w:spacing w:before="100" w:beforeAutospacing="1" w:after="100" w:afterAutospacing="1"/>
              <w:jc w:val="both"/>
              <w:rPr>
                <w:b/>
                <w:lang w:val="sr-Latn-RS"/>
              </w:rPr>
            </w:pPr>
            <w:r w:rsidRPr="00790395">
              <w:rPr>
                <w:b/>
                <w:lang w:val="sr-Latn-RS"/>
              </w:rPr>
              <w:t>9%</w:t>
            </w:r>
          </w:p>
        </w:tc>
      </w:tr>
      <w:tr w:rsidR="009B3885" w:rsidRPr="00790395" w14:paraId="08F164FF" w14:textId="77777777">
        <w:tc>
          <w:tcPr>
            <w:tcW w:w="6658" w:type="dxa"/>
          </w:tcPr>
          <w:p w14:paraId="0C777B2A" w14:textId="734AFED9" w:rsidR="009B3885" w:rsidRPr="00790395" w:rsidRDefault="00297C26" w:rsidP="00627234">
            <w:pPr>
              <w:spacing w:before="100" w:beforeAutospacing="1" w:after="100" w:afterAutospacing="1"/>
              <w:jc w:val="both"/>
              <w:rPr>
                <w:b/>
                <w:lang w:val="sr-Latn-RS"/>
              </w:rPr>
            </w:pPr>
            <w:r w:rsidRPr="00790395">
              <w:rPr>
                <w:b/>
                <w:lang w:val="sr-Latn-RS"/>
              </w:rPr>
              <w:t>Porez na dobit pravnih lica</w:t>
            </w:r>
            <w:r w:rsidR="008C0DA0" w:rsidRPr="00790395">
              <w:rPr>
                <w:b/>
                <w:lang w:val="sr-Latn-RS"/>
              </w:rPr>
              <w:t xml:space="preserve"> </w:t>
            </w:r>
          </w:p>
        </w:tc>
        <w:tc>
          <w:tcPr>
            <w:tcW w:w="2358" w:type="dxa"/>
          </w:tcPr>
          <w:p w14:paraId="5EBCB826" w14:textId="77777777" w:rsidR="009B3885" w:rsidRPr="00790395" w:rsidRDefault="008C0DA0" w:rsidP="00627234">
            <w:pPr>
              <w:spacing w:before="100" w:beforeAutospacing="1" w:after="100" w:afterAutospacing="1"/>
              <w:jc w:val="both"/>
              <w:rPr>
                <w:b/>
                <w:lang w:val="sr-Latn-RS"/>
              </w:rPr>
            </w:pPr>
            <w:r w:rsidRPr="00790395">
              <w:rPr>
                <w:b/>
                <w:lang w:val="sr-Latn-RS"/>
              </w:rPr>
              <w:t>5%</w:t>
            </w:r>
          </w:p>
        </w:tc>
      </w:tr>
      <w:tr w:rsidR="009B3885" w:rsidRPr="00790395" w14:paraId="3119B979" w14:textId="77777777">
        <w:tc>
          <w:tcPr>
            <w:tcW w:w="6658" w:type="dxa"/>
          </w:tcPr>
          <w:p w14:paraId="2FBC4049" w14:textId="4337F160" w:rsidR="009B3885" w:rsidRPr="00790395" w:rsidRDefault="00297C26" w:rsidP="00627234">
            <w:pPr>
              <w:spacing w:before="100" w:beforeAutospacing="1" w:after="100" w:afterAutospacing="1"/>
              <w:jc w:val="both"/>
              <w:rPr>
                <w:b/>
                <w:lang w:val="sr-Latn-RS"/>
              </w:rPr>
            </w:pPr>
            <w:r w:rsidRPr="00790395">
              <w:rPr>
                <w:b/>
                <w:lang w:val="sr-Latn-RS"/>
              </w:rPr>
              <w:t>Porez na dodatu vrednost</w:t>
            </w:r>
            <w:r w:rsidR="008C0DA0" w:rsidRPr="00790395">
              <w:rPr>
                <w:b/>
                <w:lang w:val="sr-Latn-RS"/>
              </w:rPr>
              <w:t xml:space="preserve"> </w:t>
            </w:r>
          </w:p>
        </w:tc>
        <w:tc>
          <w:tcPr>
            <w:tcW w:w="2358" w:type="dxa"/>
          </w:tcPr>
          <w:p w14:paraId="63FB0C74" w14:textId="77777777" w:rsidR="009B3885" w:rsidRPr="00790395" w:rsidRDefault="008C0DA0" w:rsidP="00627234">
            <w:pPr>
              <w:spacing w:before="100" w:beforeAutospacing="1" w:after="100" w:afterAutospacing="1"/>
              <w:jc w:val="both"/>
              <w:rPr>
                <w:b/>
                <w:lang w:val="sr-Latn-RS"/>
              </w:rPr>
            </w:pPr>
            <w:r w:rsidRPr="00790395">
              <w:rPr>
                <w:b/>
                <w:lang w:val="sr-Latn-RS"/>
              </w:rPr>
              <w:t>25%</w:t>
            </w:r>
          </w:p>
        </w:tc>
      </w:tr>
      <w:tr w:rsidR="009B3885" w:rsidRPr="00790395" w14:paraId="148A5624" w14:textId="77777777">
        <w:tc>
          <w:tcPr>
            <w:tcW w:w="6658" w:type="dxa"/>
          </w:tcPr>
          <w:p w14:paraId="42ED300C" w14:textId="5E27D8E3" w:rsidR="009B3885" w:rsidRPr="00790395" w:rsidRDefault="00297C26" w:rsidP="00627234">
            <w:pPr>
              <w:spacing w:before="100" w:beforeAutospacing="1" w:after="100" w:afterAutospacing="1"/>
              <w:jc w:val="both"/>
              <w:rPr>
                <w:b/>
                <w:lang w:val="sr-Latn-RS"/>
              </w:rPr>
            </w:pPr>
            <w:r w:rsidRPr="00790395">
              <w:rPr>
                <w:b/>
                <w:lang w:val="sr-Latn-RS"/>
              </w:rPr>
              <w:t>Akcize</w:t>
            </w:r>
            <w:r w:rsidR="008C0DA0" w:rsidRPr="00790395">
              <w:rPr>
                <w:b/>
                <w:lang w:val="sr-Latn-RS"/>
              </w:rPr>
              <w:t xml:space="preserve"> </w:t>
            </w:r>
          </w:p>
        </w:tc>
        <w:tc>
          <w:tcPr>
            <w:tcW w:w="2358" w:type="dxa"/>
          </w:tcPr>
          <w:p w14:paraId="20591514" w14:textId="77777777" w:rsidR="009B3885" w:rsidRPr="00790395" w:rsidRDefault="008C0DA0" w:rsidP="00627234">
            <w:pPr>
              <w:spacing w:before="100" w:beforeAutospacing="1" w:after="100" w:afterAutospacing="1"/>
              <w:jc w:val="both"/>
              <w:rPr>
                <w:b/>
                <w:lang w:val="sr-Latn-RS"/>
              </w:rPr>
            </w:pPr>
            <w:r w:rsidRPr="00790395">
              <w:rPr>
                <w:b/>
                <w:lang w:val="sr-Latn-RS"/>
              </w:rPr>
              <w:t>14%</w:t>
            </w:r>
          </w:p>
        </w:tc>
      </w:tr>
      <w:tr w:rsidR="009B3885" w:rsidRPr="00790395" w14:paraId="257154CD" w14:textId="77777777">
        <w:tc>
          <w:tcPr>
            <w:tcW w:w="6658" w:type="dxa"/>
          </w:tcPr>
          <w:p w14:paraId="1A176D8F" w14:textId="35404948" w:rsidR="009B3885" w:rsidRPr="00790395" w:rsidRDefault="00297C26" w:rsidP="00627234">
            <w:pPr>
              <w:spacing w:before="100" w:beforeAutospacing="1" w:after="100" w:afterAutospacing="1"/>
              <w:jc w:val="both"/>
              <w:rPr>
                <w:b/>
                <w:lang w:val="sr-Latn-RS"/>
              </w:rPr>
            </w:pPr>
            <w:r w:rsidRPr="00790395">
              <w:rPr>
                <w:b/>
                <w:lang w:val="sr-Latn-RS"/>
              </w:rPr>
              <w:t>Carine</w:t>
            </w:r>
            <w:r w:rsidR="008C0DA0" w:rsidRPr="00790395">
              <w:rPr>
                <w:b/>
                <w:lang w:val="sr-Latn-RS"/>
              </w:rPr>
              <w:t xml:space="preserve"> </w:t>
            </w:r>
          </w:p>
        </w:tc>
        <w:tc>
          <w:tcPr>
            <w:tcW w:w="2358" w:type="dxa"/>
          </w:tcPr>
          <w:p w14:paraId="0FD2CF8F" w14:textId="77777777" w:rsidR="009B3885" w:rsidRPr="00790395" w:rsidRDefault="008C0DA0" w:rsidP="00627234">
            <w:pPr>
              <w:spacing w:before="100" w:beforeAutospacing="1" w:after="100" w:afterAutospacing="1"/>
              <w:jc w:val="both"/>
              <w:rPr>
                <w:b/>
                <w:lang w:val="sr-Latn-RS"/>
              </w:rPr>
            </w:pPr>
            <w:r w:rsidRPr="00790395">
              <w:rPr>
                <w:b/>
                <w:lang w:val="sr-Latn-RS"/>
              </w:rPr>
              <w:t>2%</w:t>
            </w:r>
          </w:p>
        </w:tc>
      </w:tr>
      <w:tr w:rsidR="009B3885" w:rsidRPr="00790395" w14:paraId="5DAD9ABE" w14:textId="77777777">
        <w:tc>
          <w:tcPr>
            <w:tcW w:w="6658" w:type="dxa"/>
          </w:tcPr>
          <w:p w14:paraId="07CF0AA0" w14:textId="7699EC6B" w:rsidR="009B3885" w:rsidRPr="00790395" w:rsidRDefault="00297C26" w:rsidP="00627234">
            <w:pPr>
              <w:spacing w:before="100" w:beforeAutospacing="1" w:after="100" w:afterAutospacing="1"/>
              <w:jc w:val="both"/>
              <w:rPr>
                <w:b/>
                <w:lang w:val="sr-Latn-RS"/>
              </w:rPr>
            </w:pPr>
            <w:r w:rsidRPr="00790395">
              <w:rPr>
                <w:b/>
                <w:lang w:val="sr-Latn-RS"/>
              </w:rPr>
              <w:t>Ostali poreski prihod</w:t>
            </w:r>
            <w:r w:rsidR="002364F9">
              <w:rPr>
                <w:b/>
                <w:lang w:val="sr-Latn-RS"/>
              </w:rPr>
              <w:t>i</w:t>
            </w:r>
            <w:r w:rsidR="008C0DA0" w:rsidRPr="00790395">
              <w:rPr>
                <w:b/>
                <w:lang w:val="sr-Latn-RS"/>
              </w:rPr>
              <w:t xml:space="preserve"> </w:t>
            </w:r>
          </w:p>
        </w:tc>
        <w:tc>
          <w:tcPr>
            <w:tcW w:w="2358" w:type="dxa"/>
          </w:tcPr>
          <w:p w14:paraId="2CD760E9" w14:textId="77777777" w:rsidR="009B3885" w:rsidRPr="00790395" w:rsidRDefault="008C0DA0" w:rsidP="00627234">
            <w:pPr>
              <w:spacing w:before="100" w:beforeAutospacing="1" w:after="100" w:afterAutospacing="1"/>
              <w:jc w:val="both"/>
              <w:rPr>
                <w:b/>
                <w:lang w:val="sr-Latn-RS"/>
              </w:rPr>
            </w:pPr>
            <w:r w:rsidRPr="00790395">
              <w:rPr>
                <w:b/>
                <w:lang w:val="sr-Latn-RS"/>
              </w:rPr>
              <w:t>3%</w:t>
            </w:r>
          </w:p>
        </w:tc>
      </w:tr>
      <w:tr w:rsidR="009B3885" w:rsidRPr="00790395" w14:paraId="088597AB" w14:textId="77777777">
        <w:tc>
          <w:tcPr>
            <w:tcW w:w="6658" w:type="dxa"/>
          </w:tcPr>
          <w:p w14:paraId="68164B87" w14:textId="50832DEB" w:rsidR="009B3885" w:rsidRPr="00790395" w:rsidRDefault="00297C26" w:rsidP="00627234">
            <w:pPr>
              <w:spacing w:before="100" w:beforeAutospacing="1" w:after="100" w:afterAutospacing="1"/>
              <w:jc w:val="both"/>
              <w:rPr>
                <w:b/>
                <w:lang w:val="sr-Latn-RS"/>
              </w:rPr>
            </w:pPr>
            <w:r w:rsidRPr="00790395">
              <w:rPr>
                <w:b/>
                <w:lang w:val="sr-Latn-RS"/>
              </w:rPr>
              <w:t>Socijalni doprinosi</w:t>
            </w:r>
            <w:r w:rsidR="008C0DA0" w:rsidRPr="00790395">
              <w:rPr>
                <w:b/>
                <w:lang w:val="sr-Latn-RS"/>
              </w:rPr>
              <w:t xml:space="preserve"> </w:t>
            </w:r>
          </w:p>
        </w:tc>
        <w:tc>
          <w:tcPr>
            <w:tcW w:w="2358" w:type="dxa"/>
          </w:tcPr>
          <w:p w14:paraId="3A5C7873" w14:textId="77777777" w:rsidR="009B3885" w:rsidRPr="00790395" w:rsidRDefault="008C0DA0" w:rsidP="00627234">
            <w:pPr>
              <w:spacing w:before="100" w:beforeAutospacing="1" w:after="100" w:afterAutospacing="1"/>
              <w:jc w:val="both"/>
              <w:rPr>
                <w:b/>
                <w:lang w:val="sr-Latn-RS"/>
              </w:rPr>
            </w:pPr>
            <w:r w:rsidRPr="00790395">
              <w:rPr>
                <w:b/>
                <w:lang w:val="sr-Latn-RS"/>
              </w:rPr>
              <w:t>30%</w:t>
            </w:r>
          </w:p>
        </w:tc>
      </w:tr>
      <w:tr w:rsidR="009B3885" w:rsidRPr="00790395" w14:paraId="2B4F4447" w14:textId="77777777">
        <w:tc>
          <w:tcPr>
            <w:tcW w:w="6658" w:type="dxa"/>
          </w:tcPr>
          <w:p w14:paraId="08181DF7" w14:textId="024CFC3D" w:rsidR="009B3885" w:rsidRPr="00790395" w:rsidRDefault="00297C26" w:rsidP="00627234">
            <w:pPr>
              <w:spacing w:before="100" w:beforeAutospacing="1" w:after="100" w:afterAutospacing="1"/>
              <w:jc w:val="both"/>
              <w:rPr>
                <w:b/>
                <w:lang w:val="sr-Latn-RS"/>
              </w:rPr>
            </w:pPr>
            <w:r w:rsidRPr="00790395">
              <w:rPr>
                <w:b/>
                <w:lang w:val="sr-Latn-RS"/>
              </w:rPr>
              <w:t>Neporeski prihodi</w:t>
            </w:r>
            <w:r w:rsidR="008C0DA0" w:rsidRPr="00790395">
              <w:rPr>
                <w:b/>
                <w:lang w:val="sr-Latn-RS"/>
              </w:rPr>
              <w:t xml:space="preserve"> </w:t>
            </w:r>
          </w:p>
        </w:tc>
        <w:tc>
          <w:tcPr>
            <w:tcW w:w="2358" w:type="dxa"/>
          </w:tcPr>
          <w:p w14:paraId="204251F7" w14:textId="77777777" w:rsidR="009B3885" w:rsidRPr="00790395" w:rsidRDefault="008C0DA0" w:rsidP="00627234">
            <w:pPr>
              <w:spacing w:before="100" w:beforeAutospacing="1" w:after="100" w:afterAutospacing="1"/>
              <w:jc w:val="both"/>
              <w:rPr>
                <w:b/>
                <w:lang w:val="sr-Latn-RS"/>
              </w:rPr>
            </w:pPr>
            <w:r w:rsidRPr="00790395">
              <w:rPr>
                <w:b/>
                <w:lang w:val="sr-Latn-RS"/>
              </w:rPr>
              <w:t>12%</w:t>
            </w:r>
          </w:p>
        </w:tc>
      </w:tr>
      <w:tr w:rsidR="009B3885" w:rsidRPr="00790395" w14:paraId="5A476F6B" w14:textId="77777777">
        <w:tc>
          <w:tcPr>
            <w:tcW w:w="6658" w:type="dxa"/>
          </w:tcPr>
          <w:p w14:paraId="1AFB1F94" w14:textId="77777777" w:rsidR="009B3885" w:rsidRPr="00790395" w:rsidRDefault="008C0DA0" w:rsidP="00627234">
            <w:pPr>
              <w:spacing w:before="100" w:beforeAutospacing="1" w:after="100" w:afterAutospacing="1"/>
              <w:jc w:val="both"/>
              <w:rPr>
                <w:b/>
                <w:lang w:val="sr-Latn-RS"/>
              </w:rPr>
            </w:pPr>
            <w:r w:rsidRPr="00790395">
              <w:rPr>
                <w:b/>
                <w:lang w:val="sr-Latn-RS"/>
              </w:rPr>
              <w:t xml:space="preserve">TOTAL </w:t>
            </w:r>
          </w:p>
        </w:tc>
        <w:tc>
          <w:tcPr>
            <w:tcW w:w="2358" w:type="dxa"/>
          </w:tcPr>
          <w:p w14:paraId="2EF724B1" w14:textId="77777777" w:rsidR="009B3885" w:rsidRPr="00790395" w:rsidRDefault="008C0DA0" w:rsidP="00627234">
            <w:pPr>
              <w:spacing w:before="100" w:beforeAutospacing="1" w:after="100" w:afterAutospacing="1"/>
              <w:jc w:val="both"/>
              <w:rPr>
                <w:b/>
                <w:lang w:val="sr-Latn-RS"/>
              </w:rPr>
            </w:pPr>
            <w:r w:rsidRPr="00790395">
              <w:rPr>
                <w:b/>
                <w:lang w:val="sr-Latn-RS"/>
              </w:rPr>
              <w:t>100%</w:t>
            </w:r>
          </w:p>
        </w:tc>
      </w:tr>
    </w:tbl>
    <w:p w14:paraId="018A42E7" w14:textId="6AC6CA0A" w:rsidR="002C67B3" w:rsidRPr="00EB11E5" w:rsidRDefault="00297C26" w:rsidP="00EB11E5">
      <w:pPr>
        <w:pStyle w:val="NoSpacing"/>
        <w:jc w:val="both"/>
        <w:rPr>
          <w:b/>
          <w:sz w:val="24"/>
          <w:szCs w:val="24"/>
          <w:lang w:val="sr-Latn-RS"/>
        </w:rPr>
      </w:pPr>
      <w:r w:rsidRPr="00EB11E5">
        <w:rPr>
          <w:b/>
          <w:sz w:val="24"/>
          <w:szCs w:val="24"/>
          <w:lang w:val="sr-Latn-RS"/>
        </w:rPr>
        <w:t>Tabela 1: Učešće različitih poreza u državnim prihodima.</w:t>
      </w:r>
      <w:r w:rsidR="008C0DA0" w:rsidRPr="00EB11E5">
        <w:rPr>
          <w:b/>
          <w:sz w:val="24"/>
          <w:szCs w:val="24"/>
          <w:lang w:val="sr-Latn-RS"/>
        </w:rPr>
        <w:t xml:space="preserve"> </w:t>
      </w:r>
      <w:r w:rsidR="001244C3" w:rsidRPr="00EB11E5">
        <w:rPr>
          <w:sz w:val="24"/>
          <w:szCs w:val="24"/>
          <w:lang w:val="sr-Latn-RS"/>
        </w:rPr>
        <w:t>Ova analiza pokazuje da Srbija ima visok udeo regresivnijih poreza u svom poreskom profilu u poređenju sa drugim zemljama, dok su progresivni porezi poput poreza na dohodak nedovoljno iskorišćeni.</w:t>
      </w:r>
    </w:p>
    <w:p w14:paraId="1E6394F3" w14:textId="15EE65F4" w:rsidR="003627CF" w:rsidRPr="00790395" w:rsidRDefault="001244C3" w:rsidP="00CF11BA">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790395">
        <w:rPr>
          <w:color w:val="000000"/>
          <w:sz w:val="24"/>
          <w:szCs w:val="24"/>
          <w:lang w:val="sr-Latn-RS"/>
        </w:rPr>
        <w:t>Pored toga, Srbija je 2021. godine izmenila Zakon o porezu na dohodak građana</w:t>
      </w:r>
      <w:r w:rsidR="003627CF" w:rsidRPr="00790395">
        <w:rPr>
          <w:color w:val="000000"/>
          <w:sz w:val="24"/>
          <w:szCs w:val="24"/>
          <w:vertAlign w:val="superscript"/>
          <w:lang w:val="sr-Latn-RS"/>
        </w:rPr>
        <w:footnoteReference w:id="15"/>
      </w:r>
      <w:r w:rsidR="002C0A38">
        <w:rPr>
          <w:color w:val="000000"/>
          <w:sz w:val="24"/>
          <w:szCs w:val="24"/>
          <w:lang w:val="sr-Latn-RS"/>
        </w:rPr>
        <w:t xml:space="preserve"> i </w:t>
      </w:r>
      <w:r w:rsidR="003627CF" w:rsidRPr="00790395">
        <w:rPr>
          <w:color w:val="000000"/>
          <w:sz w:val="24"/>
          <w:szCs w:val="24"/>
          <w:lang w:val="sr-Latn-RS"/>
        </w:rPr>
        <w:t xml:space="preserve">ukinula oporezivanje godišnjim porezom na dohodak fizičkih lica </w:t>
      </w:r>
      <w:r w:rsidR="00CE50C5">
        <w:rPr>
          <w:color w:val="000000"/>
          <w:sz w:val="24"/>
          <w:szCs w:val="24"/>
          <w:lang w:val="sr-Latn-RS"/>
        </w:rPr>
        <w:t xml:space="preserve">za </w:t>
      </w:r>
      <w:r w:rsidR="003627CF" w:rsidRPr="00790395">
        <w:rPr>
          <w:color w:val="000000"/>
          <w:sz w:val="24"/>
          <w:szCs w:val="24"/>
          <w:lang w:val="sr-Latn-RS"/>
        </w:rPr>
        <w:t>obveznike mlađe od 40 godina. Iako ova odredba Zakona o porezu na dohodak građana nema značajne fiskalne posledice, rešenje je neopravdano</w:t>
      </w:r>
      <w:r w:rsidR="002C0A38">
        <w:rPr>
          <w:color w:val="000000"/>
          <w:sz w:val="24"/>
          <w:szCs w:val="24"/>
          <w:lang w:val="sr-Latn-RS"/>
        </w:rPr>
        <w:t xml:space="preserve"> i </w:t>
      </w:r>
      <w:r w:rsidR="003627CF" w:rsidRPr="00790395">
        <w:rPr>
          <w:color w:val="000000"/>
          <w:sz w:val="24"/>
          <w:szCs w:val="24"/>
          <w:lang w:val="sr-Latn-RS"/>
        </w:rPr>
        <w:t xml:space="preserve">veoma regresivno, </w:t>
      </w:r>
      <w:r w:rsidR="000C5763">
        <w:rPr>
          <w:color w:val="000000"/>
          <w:sz w:val="24"/>
          <w:szCs w:val="24"/>
          <w:lang w:val="sr-Latn-RS"/>
        </w:rPr>
        <w:t>posebno</w:t>
      </w:r>
      <w:r w:rsidR="003627CF" w:rsidRPr="00790395">
        <w:rPr>
          <w:color w:val="000000"/>
          <w:sz w:val="24"/>
          <w:szCs w:val="24"/>
          <w:lang w:val="sr-Latn-RS"/>
        </w:rPr>
        <w:t xml:space="preserve"> u odnosu na </w:t>
      </w:r>
      <w:r w:rsidR="000C5763">
        <w:rPr>
          <w:color w:val="000000"/>
          <w:sz w:val="24"/>
          <w:szCs w:val="24"/>
          <w:lang w:val="sr-Latn-RS"/>
        </w:rPr>
        <w:t xml:space="preserve">druge </w:t>
      </w:r>
      <w:r w:rsidR="003627CF" w:rsidRPr="00790395">
        <w:rPr>
          <w:color w:val="000000"/>
          <w:sz w:val="24"/>
          <w:szCs w:val="24"/>
          <w:lang w:val="sr-Latn-RS"/>
        </w:rPr>
        <w:t>grupe stanovništva kao što su izbeglice, interno raseljena lica</w:t>
      </w:r>
      <w:r w:rsidR="002C0A38">
        <w:rPr>
          <w:color w:val="000000"/>
          <w:sz w:val="24"/>
          <w:szCs w:val="24"/>
          <w:lang w:val="sr-Latn-RS"/>
        </w:rPr>
        <w:t xml:space="preserve"> i </w:t>
      </w:r>
      <w:r w:rsidR="003627CF" w:rsidRPr="00790395">
        <w:rPr>
          <w:color w:val="000000"/>
          <w:sz w:val="24"/>
          <w:szCs w:val="24"/>
          <w:lang w:val="sr-Latn-RS"/>
        </w:rPr>
        <w:t xml:space="preserve">korisnici socijalnog stanovanja. Ova mera doprinosi već postojećoj regresivnosti stopa/sistema poreza na dohodak u Srbiji, gde su </w:t>
      </w:r>
      <w:r w:rsidR="001A3685" w:rsidRPr="00790395">
        <w:rPr>
          <w:color w:val="000000"/>
          <w:sz w:val="24"/>
          <w:szCs w:val="24"/>
          <w:lang w:val="sr-Latn-RS"/>
        </w:rPr>
        <w:t xml:space="preserve">stope relativno </w:t>
      </w:r>
      <w:r w:rsidR="000C5763">
        <w:rPr>
          <w:color w:val="000000"/>
          <w:sz w:val="24"/>
          <w:szCs w:val="24"/>
          <w:lang w:val="sr-Latn-RS"/>
        </w:rPr>
        <w:t>fiksne</w:t>
      </w:r>
      <w:r w:rsidR="001A3685" w:rsidRPr="00790395">
        <w:rPr>
          <w:color w:val="000000"/>
          <w:sz w:val="24"/>
          <w:szCs w:val="24"/>
          <w:lang w:val="sr-Latn-RS"/>
        </w:rPr>
        <w:t>. Porez na dobit preduzeća je takođe mnogo niži nego u drugim uporedivim zemljama. Ovo je jasan primer gde bi država mogla učiniti više da maksimizira raspoložive resurse za ostvarivanje prava.</w:t>
      </w:r>
    </w:p>
    <w:p w14:paraId="66A7BD4C" w14:textId="1AB161A3" w:rsidR="006D39A0" w:rsidRPr="00790395" w:rsidRDefault="001A3685" w:rsidP="000F5DB5">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790395">
        <w:rPr>
          <w:color w:val="000000"/>
          <w:sz w:val="24"/>
          <w:szCs w:val="24"/>
          <w:lang w:val="sr-Latn-RS"/>
        </w:rPr>
        <w:t>Mere štednje takođe utiču na kvalitet pristupa drugim ekonomskim</w:t>
      </w:r>
      <w:r w:rsidR="002C0A38">
        <w:rPr>
          <w:color w:val="000000"/>
          <w:sz w:val="24"/>
          <w:szCs w:val="24"/>
          <w:lang w:val="sr-Latn-RS"/>
        </w:rPr>
        <w:t xml:space="preserve"> i </w:t>
      </w:r>
      <w:r w:rsidRPr="00790395">
        <w:rPr>
          <w:color w:val="000000"/>
          <w:sz w:val="24"/>
          <w:szCs w:val="24"/>
          <w:lang w:val="sr-Latn-RS"/>
        </w:rPr>
        <w:t>socijalnim pravima, uključujući na priuštivost socijalnog stanovanja. Pokušaj države da uveća prihode uvođenjem regr</w:t>
      </w:r>
      <w:r w:rsidR="000C5763">
        <w:rPr>
          <w:color w:val="000000"/>
          <w:sz w:val="24"/>
          <w:szCs w:val="24"/>
          <w:lang w:val="sr-Latn-RS"/>
        </w:rPr>
        <w:t>e</w:t>
      </w:r>
      <w:r w:rsidRPr="00790395">
        <w:rPr>
          <w:color w:val="000000"/>
          <w:sz w:val="24"/>
          <w:szCs w:val="24"/>
          <w:lang w:val="sr-Latn-RS"/>
        </w:rPr>
        <w:t>sivnih poreza na imovinu je dodatno ugrozio pristup pravu na stanovanje siromašnih</w:t>
      </w:r>
      <w:r w:rsidR="002C0A38">
        <w:rPr>
          <w:color w:val="000000"/>
          <w:sz w:val="24"/>
          <w:szCs w:val="24"/>
          <w:lang w:val="sr-Latn-RS"/>
        </w:rPr>
        <w:t xml:space="preserve"> i </w:t>
      </w:r>
      <w:r w:rsidRPr="00790395">
        <w:rPr>
          <w:color w:val="000000"/>
          <w:sz w:val="24"/>
          <w:szCs w:val="24"/>
          <w:lang w:val="sr-Latn-RS"/>
        </w:rPr>
        <w:t xml:space="preserve">ugroženih </w:t>
      </w:r>
      <w:r w:rsidR="00590270" w:rsidRPr="00790395">
        <w:rPr>
          <w:color w:val="000000"/>
          <w:sz w:val="24"/>
          <w:szCs w:val="24"/>
          <w:lang w:val="sr-Latn-RS"/>
        </w:rPr>
        <w:t>zajednica, što je naglasio</w:t>
      </w:r>
      <w:r w:rsidR="002C0A38">
        <w:rPr>
          <w:color w:val="000000"/>
          <w:sz w:val="24"/>
          <w:szCs w:val="24"/>
          <w:lang w:val="sr-Latn-RS"/>
        </w:rPr>
        <w:t xml:space="preserve"> i </w:t>
      </w:r>
      <w:r w:rsidR="00590270" w:rsidRPr="00790395">
        <w:rPr>
          <w:color w:val="000000"/>
          <w:sz w:val="24"/>
          <w:szCs w:val="24"/>
          <w:lang w:val="sr-Latn-RS"/>
        </w:rPr>
        <w:t>Specijalni izvestilac UN. U okviru mera štednje usvojenih 2014. godine, država je uvela porez na socijalno stanovanje koji utiče na sve korisnike socijalnog stanovanja koji imaju ugovore koji su duži od godinu dana. Izmenama Zakona o porezima na imovinu, porez na</w:t>
      </w:r>
      <w:r w:rsidR="000C5763">
        <w:rPr>
          <w:color w:val="000000"/>
          <w:sz w:val="24"/>
          <w:szCs w:val="24"/>
          <w:lang w:val="sr-Latn-RS"/>
        </w:rPr>
        <w:t xml:space="preserve"> socijalno</w:t>
      </w:r>
      <w:r w:rsidR="00590270" w:rsidRPr="00790395">
        <w:rPr>
          <w:color w:val="000000"/>
          <w:sz w:val="24"/>
          <w:szCs w:val="24"/>
          <w:lang w:val="sr-Latn-RS"/>
        </w:rPr>
        <w:t xml:space="preserve"> stanovanje je takođe uveden za izbeglice</w:t>
      </w:r>
      <w:r w:rsidR="002C0A38">
        <w:rPr>
          <w:color w:val="000000"/>
          <w:sz w:val="24"/>
          <w:szCs w:val="24"/>
          <w:lang w:val="sr-Latn-RS"/>
        </w:rPr>
        <w:t xml:space="preserve"> i </w:t>
      </w:r>
      <w:r w:rsidR="00590270" w:rsidRPr="00790395">
        <w:rPr>
          <w:color w:val="000000"/>
          <w:sz w:val="24"/>
          <w:szCs w:val="24"/>
          <w:lang w:val="sr-Latn-RS"/>
        </w:rPr>
        <w:t xml:space="preserve">interno raseljena lica. </w:t>
      </w:r>
      <w:r w:rsidR="006D39A0" w:rsidRPr="00790395">
        <w:rPr>
          <w:color w:val="000000"/>
          <w:sz w:val="24"/>
          <w:szCs w:val="24"/>
          <w:lang w:val="sr-Latn-RS"/>
        </w:rPr>
        <w:t xml:space="preserve">Kako je nametnuta posebno ugroženim populacijama, </w:t>
      </w:r>
      <w:r w:rsidR="000C5763">
        <w:rPr>
          <w:color w:val="000000"/>
          <w:sz w:val="24"/>
          <w:szCs w:val="24"/>
          <w:lang w:val="sr-Latn-RS"/>
        </w:rPr>
        <w:t xml:space="preserve">a </w:t>
      </w:r>
      <w:r w:rsidR="006D39A0" w:rsidRPr="00790395">
        <w:rPr>
          <w:color w:val="000000"/>
          <w:sz w:val="24"/>
          <w:szCs w:val="24"/>
          <w:lang w:val="sr-Latn-RS"/>
        </w:rPr>
        <w:t>zbog njihove ugroženosti</w:t>
      </w:r>
      <w:r w:rsidR="002C0A38">
        <w:rPr>
          <w:color w:val="000000"/>
          <w:sz w:val="24"/>
          <w:szCs w:val="24"/>
          <w:lang w:val="sr-Latn-RS"/>
        </w:rPr>
        <w:t xml:space="preserve"> i </w:t>
      </w:r>
      <w:r w:rsidR="000C5763">
        <w:rPr>
          <w:color w:val="000000"/>
          <w:sz w:val="24"/>
          <w:szCs w:val="24"/>
          <w:lang w:val="sr-Latn-RS"/>
        </w:rPr>
        <w:t>uskraćenog pristupa stanovanju</w:t>
      </w:r>
      <w:r w:rsidR="006D39A0" w:rsidRPr="00790395">
        <w:rPr>
          <w:color w:val="000000"/>
          <w:sz w:val="24"/>
          <w:szCs w:val="24"/>
          <w:lang w:val="sr-Latn-RS"/>
        </w:rPr>
        <w:t>, ova odredba Zakona o porezima na imovinu naišla je na žestoke kritike jednog broja OCD.</w:t>
      </w:r>
      <w:r w:rsidR="006D39A0" w:rsidRPr="00790395">
        <w:rPr>
          <w:color w:val="000000"/>
          <w:sz w:val="24"/>
          <w:szCs w:val="24"/>
          <w:vertAlign w:val="superscript"/>
          <w:lang w:val="sr-Latn-RS"/>
        </w:rPr>
        <w:footnoteReference w:id="16"/>
      </w:r>
      <w:r w:rsidR="006D39A0" w:rsidRPr="00790395">
        <w:rPr>
          <w:color w:val="000000"/>
          <w:sz w:val="24"/>
          <w:szCs w:val="24"/>
          <w:lang w:val="sr-Latn-RS"/>
        </w:rPr>
        <w:t xml:space="preserve"> Uvođenje „poreza na siromaštvo“ takođe utiče na pristupačnost socijalnog stanovanja,</w:t>
      </w:r>
      <w:r w:rsidR="002C0A38">
        <w:rPr>
          <w:color w:val="000000"/>
          <w:sz w:val="24"/>
          <w:szCs w:val="24"/>
          <w:lang w:val="sr-Latn-RS"/>
        </w:rPr>
        <w:t xml:space="preserve"> i </w:t>
      </w:r>
      <w:r w:rsidR="006D39A0" w:rsidRPr="00790395">
        <w:rPr>
          <w:color w:val="000000"/>
          <w:sz w:val="24"/>
          <w:szCs w:val="24"/>
          <w:lang w:val="sr-Latn-RS"/>
        </w:rPr>
        <w:t xml:space="preserve">stanovanja koje </w:t>
      </w:r>
      <w:r w:rsidR="005652F5" w:rsidRPr="00790395">
        <w:rPr>
          <w:color w:val="000000"/>
          <w:sz w:val="24"/>
          <w:szCs w:val="24"/>
          <w:lang w:val="sr-Latn-RS"/>
        </w:rPr>
        <w:t xml:space="preserve">se pruža </w:t>
      </w:r>
      <w:r w:rsidR="006D39A0" w:rsidRPr="00790395">
        <w:rPr>
          <w:color w:val="000000"/>
          <w:sz w:val="24"/>
          <w:szCs w:val="24"/>
          <w:lang w:val="sr-Latn-RS"/>
        </w:rPr>
        <w:t>izbeglicama</w:t>
      </w:r>
      <w:r w:rsidR="002C0A38">
        <w:rPr>
          <w:color w:val="000000"/>
          <w:sz w:val="24"/>
          <w:szCs w:val="24"/>
          <w:lang w:val="sr-Latn-RS"/>
        </w:rPr>
        <w:t xml:space="preserve"> i </w:t>
      </w:r>
      <w:r w:rsidR="006D39A0" w:rsidRPr="00790395">
        <w:rPr>
          <w:color w:val="000000"/>
          <w:sz w:val="24"/>
          <w:szCs w:val="24"/>
          <w:lang w:val="sr-Latn-RS"/>
        </w:rPr>
        <w:t>interno raseljenim licima.</w:t>
      </w:r>
      <w:r w:rsidR="006D39A0" w:rsidRPr="00790395">
        <w:rPr>
          <w:color w:val="000000"/>
          <w:sz w:val="24"/>
          <w:szCs w:val="24"/>
          <w:vertAlign w:val="superscript"/>
          <w:lang w:val="sr-Latn-RS"/>
        </w:rPr>
        <w:footnoteReference w:id="17"/>
      </w:r>
      <w:r w:rsidR="005652F5" w:rsidRPr="00790395">
        <w:rPr>
          <w:color w:val="000000"/>
          <w:sz w:val="24"/>
          <w:szCs w:val="24"/>
          <w:lang w:val="sr-Latn-RS"/>
        </w:rPr>
        <w:t xml:space="preserve"> Čak</w:t>
      </w:r>
      <w:r w:rsidR="002C0A38">
        <w:rPr>
          <w:color w:val="000000"/>
          <w:sz w:val="24"/>
          <w:szCs w:val="24"/>
          <w:lang w:val="sr-Latn-RS"/>
        </w:rPr>
        <w:t xml:space="preserve"> i </w:t>
      </w:r>
      <w:r w:rsidR="005652F5" w:rsidRPr="00790395">
        <w:rPr>
          <w:color w:val="000000"/>
          <w:sz w:val="24"/>
          <w:szCs w:val="24"/>
          <w:lang w:val="sr-Latn-RS"/>
        </w:rPr>
        <w:t xml:space="preserve">tokom poslednje posete Specijalnog izvestioca Ujedinjenih nacija za </w:t>
      </w:r>
      <w:r w:rsidR="005652F5" w:rsidRPr="00790395">
        <w:rPr>
          <w:color w:val="000000"/>
          <w:sz w:val="24"/>
          <w:szCs w:val="24"/>
          <w:lang w:val="sr-Latn-RS"/>
        </w:rPr>
        <w:lastRenderedPageBreak/>
        <w:t>pravo na adekvatno stanovanje je ovo pitanje pomenuto, te je Specijalni izvestilac predložio Srbiji da ukine ovaj porez.</w:t>
      </w:r>
      <w:r w:rsidR="005652F5" w:rsidRPr="00790395">
        <w:rPr>
          <w:color w:val="000000"/>
          <w:sz w:val="24"/>
          <w:szCs w:val="24"/>
          <w:vertAlign w:val="superscript"/>
          <w:lang w:val="sr-Latn-RS"/>
        </w:rPr>
        <w:footnoteReference w:id="18"/>
      </w:r>
      <w:r w:rsidR="005652F5" w:rsidRPr="00790395">
        <w:rPr>
          <w:color w:val="000000"/>
          <w:sz w:val="24"/>
          <w:szCs w:val="24"/>
          <w:lang w:val="sr-Latn-RS"/>
        </w:rPr>
        <w:t xml:space="preserve"> Međutim, nikakav napredak nije ostvaren u ovom pogledu.</w:t>
      </w:r>
    </w:p>
    <w:p w14:paraId="0632E389" w14:textId="12311F03" w:rsidR="00627234" w:rsidRPr="00790395" w:rsidRDefault="002215E8" w:rsidP="000F5DB5">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790395">
        <w:rPr>
          <w:color w:val="000000"/>
          <w:sz w:val="24"/>
          <w:szCs w:val="24"/>
          <w:lang w:val="sr-Latn-RS"/>
        </w:rPr>
        <w:t xml:space="preserve">Pravosudni sistem države ugovornice je takođe propustio da reši osporavano pitanje ustavnosti </w:t>
      </w:r>
      <w:r w:rsidR="00CE50C5">
        <w:rPr>
          <w:color w:val="000000"/>
          <w:sz w:val="24"/>
          <w:szCs w:val="24"/>
          <w:lang w:val="sr-Latn-RS"/>
        </w:rPr>
        <w:t>ovog z</w:t>
      </w:r>
      <w:r w:rsidRPr="00790395">
        <w:rPr>
          <w:color w:val="000000"/>
          <w:sz w:val="24"/>
          <w:szCs w:val="24"/>
          <w:lang w:val="sr-Latn-RS"/>
        </w:rPr>
        <w:t>akona, čime su izbeglice, raseljena lica</w:t>
      </w:r>
      <w:r w:rsidR="002C0A38">
        <w:rPr>
          <w:color w:val="000000"/>
          <w:sz w:val="24"/>
          <w:szCs w:val="24"/>
          <w:lang w:val="sr-Latn-RS"/>
        </w:rPr>
        <w:t xml:space="preserve"> i </w:t>
      </w:r>
      <w:r w:rsidRPr="00790395">
        <w:rPr>
          <w:color w:val="000000"/>
          <w:sz w:val="24"/>
          <w:szCs w:val="24"/>
          <w:lang w:val="sr-Latn-RS"/>
        </w:rPr>
        <w:t>korisnici socijalnog stanovanja</w:t>
      </w:r>
      <w:r w:rsidR="00DB354F" w:rsidRPr="00790395">
        <w:rPr>
          <w:color w:val="000000"/>
          <w:sz w:val="24"/>
          <w:szCs w:val="24"/>
          <w:lang w:val="sr-Latn-RS"/>
        </w:rPr>
        <w:t xml:space="preserve"> na duži vremenski period</w:t>
      </w:r>
      <w:r w:rsidRPr="00790395">
        <w:rPr>
          <w:color w:val="000000"/>
          <w:sz w:val="24"/>
          <w:szCs w:val="24"/>
          <w:lang w:val="sr-Latn-RS"/>
        </w:rPr>
        <w:t xml:space="preserve"> ostavljeni u</w:t>
      </w:r>
      <w:r w:rsidR="00DB354F" w:rsidRPr="00790395">
        <w:rPr>
          <w:color w:val="000000"/>
          <w:sz w:val="24"/>
          <w:szCs w:val="24"/>
          <w:lang w:val="sr-Latn-RS"/>
        </w:rPr>
        <w:t xml:space="preserve"> poziciji stambene ugroženosti. U maju 2015. godine, Ustavnom sudu Republike Srbije podneta je inicijativa za ocenu ustavnosti ove odredbe, ali čak sada, gotovo sedam godina nakon podnošenja inicijative, ovaj predmet je</w:t>
      </w:r>
      <w:r w:rsidR="002C0A38">
        <w:rPr>
          <w:color w:val="000000"/>
          <w:sz w:val="24"/>
          <w:szCs w:val="24"/>
          <w:lang w:val="sr-Latn-RS"/>
        </w:rPr>
        <w:t xml:space="preserve"> i </w:t>
      </w:r>
      <w:r w:rsidR="00DB354F" w:rsidRPr="00790395">
        <w:rPr>
          <w:color w:val="000000"/>
          <w:sz w:val="24"/>
          <w:szCs w:val="24"/>
          <w:lang w:val="sr-Latn-RS"/>
        </w:rPr>
        <w:t xml:space="preserve">dalje u postupku pred sudom. </w:t>
      </w:r>
    </w:p>
    <w:p w14:paraId="2FD3AF60" w14:textId="28ABF614" w:rsidR="002C67B3" w:rsidRPr="00790395" w:rsidRDefault="00DB354F" w:rsidP="00DC01CB">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790395">
        <w:rPr>
          <w:color w:val="000000"/>
          <w:sz w:val="24"/>
          <w:szCs w:val="24"/>
          <w:lang w:val="sr-Latn-RS"/>
        </w:rPr>
        <w:t>Korupcija</w:t>
      </w:r>
      <w:r w:rsidR="002C0A38">
        <w:rPr>
          <w:color w:val="000000"/>
          <w:sz w:val="24"/>
          <w:szCs w:val="24"/>
          <w:lang w:val="sr-Latn-RS"/>
        </w:rPr>
        <w:t xml:space="preserve"> i </w:t>
      </w:r>
      <w:r w:rsidRPr="00790395">
        <w:rPr>
          <w:color w:val="000000"/>
          <w:sz w:val="24"/>
          <w:szCs w:val="24"/>
          <w:lang w:val="sr-Latn-RS"/>
        </w:rPr>
        <w:t>loše upravljanje javnim fondovima predstavljaju dodatne primere neuspeha države da ispuni svoju obavezu</w:t>
      </w:r>
      <w:r w:rsidR="002C0A38">
        <w:rPr>
          <w:color w:val="000000"/>
          <w:sz w:val="24"/>
          <w:szCs w:val="24"/>
          <w:lang w:val="sr-Latn-RS"/>
        </w:rPr>
        <w:t xml:space="preserve"> i </w:t>
      </w:r>
      <w:r w:rsidRPr="00790395">
        <w:rPr>
          <w:color w:val="000000"/>
          <w:sz w:val="24"/>
          <w:szCs w:val="24"/>
          <w:lang w:val="sr-Latn-RS"/>
        </w:rPr>
        <w:t>upotrebi maksimum raspoloživih sredstava u svrhu ostvarivanja ekonomskih, socijalnih</w:t>
      </w:r>
      <w:r w:rsidR="002C0A38">
        <w:rPr>
          <w:color w:val="000000"/>
          <w:sz w:val="24"/>
          <w:szCs w:val="24"/>
          <w:lang w:val="sr-Latn-RS"/>
        </w:rPr>
        <w:t xml:space="preserve"> i </w:t>
      </w:r>
      <w:r w:rsidRPr="00790395">
        <w:rPr>
          <w:color w:val="000000"/>
          <w:sz w:val="24"/>
          <w:szCs w:val="24"/>
          <w:lang w:val="sr-Latn-RS"/>
        </w:rPr>
        <w:t>kulturnih prava</w:t>
      </w:r>
      <w:r w:rsidR="00DC01CB" w:rsidRPr="00790395">
        <w:rPr>
          <w:color w:val="000000"/>
          <w:sz w:val="24"/>
          <w:szCs w:val="24"/>
          <w:lang w:val="sr-Latn-RS"/>
        </w:rPr>
        <w:t xml:space="preserve">, o </w:t>
      </w:r>
      <w:r w:rsidR="004A5708">
        <w:rPr>
          <w:color w:val="000000"/>
          <w:sz w:val="24"/>
          <w:szCs w:val="24"/>
          <w:lang w:val="sr-Latn-RS"/>
        </w:rPr>
        <w:t>č</w:t>
      </w:r>
      <w:r w:rsidR="00DC01CB" w:rsidRPr="00790395">
        <w:rPr>
          <w:color w:val="000000"/>
          <w:sz w:val="24"/>
          <w:szCs w:val="24"/>
          <w:lang w:val="sr-Latn-RS"/>
        </w:rPr>
        <w:t xml:space="preserve">emu će biti detaljnijih podataka u </w:t>
      </w:r>
      <w:r w:rsidR="004A5708">
        <w:rPr>
          <w:color w:val="000000"/>
          <w:sz w:val="24"/>
          <w:szCs w:val="24"/>
          <w:lang w:val="sr-Latn-RS"/>
        </w:rPr>
        <w:t>narednim</w:t>
      </w:r>
      <w:r w:rsidR="00DC01CB" w:rsidRPr="00790395">
        <w:rPr>
          <w:color w:val="000000"/>
          <w:sz w:val="24"/>
          <w:szCs w:val="24"/>
          <w:lang w:val="sr-Latn-RS"/>
        </w:rPr>
        <w:t xml:space="preserve"> segmentima izveštaja. Primera radi, Srbija je samo tokom 2020. godine odvojila 23,2 milijarde dinara (oko 200 miliona evra) za </w:t>
      </w:r>
      <w:r w:rsidR="00754649" w:rsidRPr="00790395">
        <w:rPr>
          <w:color w:val="000000"/>
          <w:sz w:val="24"/>
          <w:szCs w:val="24"/>
          <w:lang w:val="sr-Latn-RS"/>
        </w:rPr>
        <w:t>kazne</w:t>
      </w:r>
      <w:r w:rsidR="002C0A38">
        <w:rPr>
          <w:color w:val="000000"/>
          <w:sz w:val="24"/>
          <w:szCs w:val="24"/>
          <w:lang w:val="sr-Latn-RS"/>
        </w:rPr>
        <w:t xml:space="preserve"> i </w:t>
      </w:r>
      <w:r w:rsidR="00754649" w:rsidRPr="00790395">
        <w:rPr>
          <w:color w:val="000000"/>
          <w:sz w:val="24"/>
          <w:szCs w:val="24"/>
          <w:lang w:val="sr-Latn-RS"/>
        </w:rPr>
        <w:t>penale</w:t>
      </w:r>
      <w:r w:rsidR="00DC01CB" w:rsidRPr="00790395">
        <w:rPr>
          <w:color w:val="000000"/>
          <w:sz w:val="24"/>
          <w:szCs w:val="24"/>
          <w:lang w:val="sr-Latn-RS"/>
        </w:rPr>
        <w:t>.</w:t>
      </w:r>
      <w:r w:rsidR="00790395" w:rsidRPr="00790395">
        <w:rPr>
          <w:color w:val="000000"/>
          <w:sz w:val="24"/>
          <w:szCs w:val="24"/>
          <w:vertAlign w:val="superscript"/>
          <w:lang w:val="sr-Latn-RS"/>
        </w:rPr>
        <w:footnoteReference w:id="19"/>
      </w:r>
      <w:r w:rsidR="00790395" w:rsidRPr="00790395">
        <w:rPr>
          <w:color w:val="000000"/>
          <w:sz w:val="24"/>
          <w:szCs w:val="24"/>
          <w:lang w:val="sr-Latn-RS"/>
        </w:rPr>
        <w:t xml:space="preserve"> </w:t>
      </w:r>
      <w:r w:rsidR="00DC01CB" w:rsidRPr="00790395">
        <w:rPr>
          <w:color w:val="000000"/>
          <w:sz w:val="24"/>
          <w:szCs w:val="24"/>
          <w:lang w:val="sr-Latn-RS"/>
        </w:rPr>
        <w:t xml:space="preserve">U proteklih 10 godina, Srbija je </w:t>
      </w:r>
      <w:r w:rsidR="004A5708">
        <w:rPr>
          <w:color w:val="000000"/>
          <w:sz w:val="24"/>
          <w:szCs w:val="24"/>
          <w:lang w:val="sr-Latn-RS"/>
        </w:rPr>
        <w:t>za</w:t>
      </w:r>
      <w:r w:rsidR="00DC01CB" w:rsidRPr="00790395">
        <w:rPr>
          <w:color w:val="000000"/>
          <w:sz w:val="24"/>
          <w:szCs w:val="24"/>
          <w:lang w:val="sr-Latn-RS"/>
        </w:rPr>
        <w:t xml:space="preserve"> ove svrhe potrošila 119,7 milijardi dinara (oko 1 milijardu evra).</w:t>
      </w:r>
    </w:p>
    <w:tbl>
      <w:tblPr>
        <w:tblStyle w:val="a0"/>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74"/>
        <w:gridCol w:w="3945"/>
        <w:gridCol w:w="3954"/>
      </w:tblGrid>
      <w:tr w:rsidR="00DC01CB" w:rsidRPr="00790395" w14:paraId="24635E8C" w14:textId="77777777" w:rsidTr="00B961C6">
        <w:tc>
          <w:tcPr>
            <w:tcW w:w="0" w:type="auto"/>
          </w:tcPr>
          <w:p w14:paraId="66FBD448" w14:textId="6C96872E" w:rsidR="009B3885" w:rsidRPr="00790395" w:rsidRDefault="00DC01CB"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Godina</w:t>
            </w:r>
            <w:r w:rsidR="008C0DA0" w:rsidRPr="00790395">
              <w:rPr>
                <w:b/>
                <w:color w:val="000000"/>
                <w:lang w:val="sr-Latn-RS"/>
              </w:rPr>
              <w:t xml:space="preserve"> </w:t>
            </w:r>
          </w:p>
        </w:tc>
        <w:tc>
          <w:tcPr>
            <w:tcW w:w="0" w:type="auto"/>
          </w:tcPr>
          <w:p w14:paraId="660BC943" w14:textId="49A2304E" w:rsidR="009B3885" w:rsidRPr="00790395" w:rsidRDefault="00DC01CB"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 xml:space="preserve">Sredstva izdvojena za </w:t>
            </w:r>
            <w:r w:rsidR="00754649" w:rsidRPr="00790395">
              <w:rPr>
                <w:b/>
                <w:color w:val="000000"/>
                <w:lang w:val="sr-Latn-RS"/>
              </w:rPr>
              <w:t>kazne</w:t>
            </w:r>
            <w:r w:rsidR="002C0A38">
              <w:rPr>
                <w:b/>
                <w:color w:val="000000"/>
                <w:lang w:val="sr-Latn-RS"/>
              </w:rPr>
              <w:t xml:space="preserve"> i </w:t>
            </w:r>
            <w:r w:rsidR="00754649" w:rsidRPr="00790395">
              <w:rPr>
                <w:b/>
                <w:color w:val="000000"/>
                <w:lang w:val="sr-Latn-RS"/>
              </w:rPr>
              <w:t>penale</w:t>
            </w:r>
            <w:r w:rsidR="008C0DA0" w:rsidRPr="00790395">
              <w:rPr>
                <w:b/>
                <w:color w:val="000000"/>
                <w:lang w:val="sr-Latn-RS"/>
              </w:rPr>
              <w:t xml:space="preserve"> RSD</w:t>
            </w:r>
          </w:p>
        </w:tc>
        <w:tc>
          <w:tcPr>
            <w:tcW w:w="0" w:type="auto"/>
          </w:tcPr>
          <w:p w14:paraId="6D34F9E3" w14:textId="7771E8CC" w:rsidR="009B3885" w:rsidRPr="00790395" w:rsidRDefault="00CE0B5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 xml:space="preserve">Sredstva izdvojena za </w:t>
            </w:r>
            <w:r w:rsidR="00754649" w:rsidRPr="00790395">
              <w:rPr>
                <w:b/>
                <w:color w:val="000000"/>
                <w:lang w:val="sr-Latn-RS"/>
              </w:rPr>
              <w:t>kazne</w:t>
            </w:r>
            <w:r w:rsidR="002C0A38">
              <w:rPr>
                <w:b/>
                <w:color w:val="000000"/>
                <w:lang w:val="sr-Latn-RS"/>
              </w:rPr>
              <w:t xml:space="preserve"> i </w:t>
            </w:r>
            <w:r w:rsidR="00754649" w:rsidRPr="00790395">
              <w:rPr>
                <w:b/>
                <w:color w:val="000000"/>
                <w:lang w:val="sr-Latn-RS"/>
              </w:rPr>
              <w:t>penale</w:t>
            </w:r>
            <w:r w:rsidRPr="00790395">
              <w:rPr>
                <w:b/>
                <w:color w:val="000000"/>
                <w:lang w:val="sr-Latn-RS"/>
              </w:rPr>
              <w:t xml:space="preserve"> </w:t>
            </w:r>
            <w:r w:rsidR="008C0DA0" w:rsidRPr="00790395">
              <w:rPr>
                <w:b/>
                <w:color w:val="000000"/>
                <w:lang w:val="sr-Latn-RS"/>
              </w:rPr>
              <w:t>EUR</w:t>
            </w:r>
          </w:p>
        </w:tc>
      </w:tr>
      <w:tr w:rsidR="00DC01CB" w:rsidRPr="00790395" w14:paraId="123A34EF" w14:textId="77777777" w:rsidTr="00B961C6">
        <w:tc>
          <w:tcPr>
            <w:tcW w:w="0" w:type="auto"/>
          </w:tcPr>
          <w:p w14:paraId="132ED5B0" w14:textId="77777777" w:rsidR="009B3885" w:rsidRPr="00790395" w:rsidRDefault="008C0DA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2020</w:t>
            </w:r>
          </w:p>
        </w:tc>
        <w:tc>
          <w:tcPr>
            <w:tcW w:w="0" w:type="auto"/>
          </w:tcPr>
          <w:p w14:paraId="06C87697" w14:textId="34EA7802" w:rsidR="009B3885" w:rsidRPr="00790395" w:rsidRDefault="008C0DA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23</w:t>
            </w:r>
            <w:r w:rsidR="00DC01CB" w:rsidRPr="00790395">
              <w:rPr>
                <w:b/>
                <w:color w:val="000000"/>
                <w:lang w:val="sr-Latn-RS"/>
              </w:rPr>
              <w:t>,</w:t>
            </w:r>
            <w:r w:rsidRPr="00790395">
              <w:rPr>
                <w:b/>
                <w:color w:val="000000"/>
                <w:lang w:val="sr-Latn-RS"/>
              </w:rPr>
              <w:t xml:space="preserve">2 </w:t>
            </w:r>
            <w:r w:rsidR="00DC01CB" w:rsidRPr="00790395">
              <w:rPr>
                <w:b/>
                <w:color w:val="000000"/>
                <w:lang w:val="sr-Latn-RS"/>
              </w:rPr>
              <w:t>milijarde</w:t>
            </w:r>
            <w:r w:rsidRPr="00790395">
              <w:rPr>
                <w:b/>
                <w:color w:val="000000"/>
                <w:lang w:val="sr-Latn-RS"/>
              </w:rPr>
              <w:t xml:space="preserve"> </w:t>
            </w:r>
          </w:p>
        </w:tc>
        <w:tc>
          <w:tcPr>
            <w:tcW w:w="0" w:type="auto"/>
          </w:tcPr>
          <w:p w14:paraId="537A346E" w14:textId="6786C067" w:rsidR="009B3885" w:rsidRPr="00790395" w:rsidRDefault="008C0DA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 xml:space="preserve">200 </w:t>
            </w:r>
            <w:r w:rsidR="00CE0B50" w:rsidRPr="00790395">
              <w:rPr>
                <w:b/>
                <w:color w:val="000000"/>
                <w:lang w:val="sr-Latn-RS"/>
              </w:rPr>
              <w:t>miliona</w:t>
            </w:r>
            <w:r w:rsidRPr="00790395">
              <w:rPr>
                <w:b/>
                <w:color w:val="000000"/>
                <w:lang w:val="sr-Latn-RS"/>
              </w:rPr>
              <w:t xml:space="preserve"> </w:t>
            </w:r>
          </w:p>
        </w:tc>
      </w:tr>
      <w:tr w:rsidR="00DC01CB" w:rsidRPr="00790395" w14:paraId="18684B14" w14:textId="77777777" w:rsidTr="00B961C6">
        <w:tc>
          <w:tcPr>
            <w:tcW w:w="0" w:type="auto"/>
          </w:tcPr>
          <w:p w14:paraId="5E0D678D" w14:textId="77777777" w:rsidR="009B3885" w:rsidRPr="00790395" w:rsidRDefault="008C0DA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2021</w:t>
            </w:r>
          </w:p>
        </w:tc>
        <w:tc>
          <w:tcPr>
            <w:tcW w:w="0" w:type="auto"/>
          </w:tcPr>
          <w:p w14:paraId="434A64F0" w14:textId="2CDB4EE3" w:rsidR="009B3885" w:rsidRPr="00790395" w:rsidRDefault="008C0DA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 xml:space="preserve">18 </w:t>
            </w:r>
            <w:r w:rsidR="00DC01CB" w:rsidRPr="00790395">
              <w:rPr>
                <w:b/>
                <w:color w:val="000000"/>
                <w:lang w:val="sr-Latn-RS"/>
              </w:rPr>
              <w:t>milijardi</w:t>
            </w:r>
            <w:r w:rsidRPr="00790395">
              <w:rPr>
                <w:b/>
                <w:color w:val="000000"/>
                <w:lang w:val="sr-Latn-RS"/>
              </w:rPr>
              <w:t xml:space="preserve"> </w:t>
            </w:r>
          </w:p>
        </w:tc>
        <w:tc>
          <w:tcPr>
            <w:tcW w:w="0" w:type="auto"/>
          </w:tcPr>
          <w:p w14:paraId="180F276D" w14:textId="4A97924C" w:rsidR="009B3885" w:rsidRPr="00790395" w:rsidRDefault="008C0DA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153 million</w:t>
            </w:r>
            <w:r w:rsidR="00CE0B50" w:rsidRPr="00790395">
              <w:rPr>
                <w:b/>
                <w:color w:val="000000"/>
                <w:lang w:val="sr-Latn-RS"/>
              </w:rPr>
              <w:t>a</w:t>
            </w:r>
          </w:p>
        </w:tc>
      </w:tr>
      <w:tr w:rsidR="00DC01CB" w:rsidRPr="00790395" w14:paraId="411CBD7E" w14:textId="77777777" w:rsidTr="00B961C6">
        <w:tc>
          <w:tcPr>
            <w:tcW w:w="0" w:type="auto"/>
          </w:tcPr>
          <w:p w14:paraId="741506DE" w14:textId="77777777" w:rsidR="009B3885" w:rsidRPr="00790395" w:rsidRDefault="008C0DA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2022</w:t>
            </w:r>
          </w:p>
        </w:tc>
        <w:tc>
          <w:tcPr>
            <w:tcW w:w="0" w:type="auto"/>
          </w:tcPr>
          <w:p w14:paraId="65B57339" w14:textId="2D1E4C01" w:rsidR="009B3885" w:rsidRPr="00790395" w:rsidRDefault="008C0DA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33</w:t>
            </w:r>
            <w:r w:rsidR="00DC01CB" w:rsidRPr="00790395">
              <w:rPr>
                <w:b/>
                <w:color w:val="000000"/>
                <w:lang w:val="sr-Latn-RS"/>
              </w:rPr>
              <w:t>,</w:t>
            </w:r>
            <w:r w:rsidRPr="00790395">
              <w:rPr>
                <w:b/>
                <w:color w:val="000000"/>
                <w:lang w:val="sr-Latn-RS"/>
              </w:rPr>
              <w:t xml:space="preserve">2 </w:t>
            </w:r>
            <w:r w:rsidR="00DC01CB" w:rsidRPr="00790395">
              <w:rPr>
                <w:b/>
                <w:color w:val="000000"/>
                <w:lang w:val="sr-Latn-RS"/>
              </w:rPr>
              <w:t>milijarde</w:t>
            </w:r>
            <w:r w:rsidRPr="00790395">
              <w:rPr>
                <w:b/>
                <w:color w:val="000000"/>
                <w:lang w:val="sr-Latn-RS"/>
              </w:rPr>
              <w:t xml:space="preserve"> </w:t>
            </w:r>
          </w:p>
        </w:tc>
        <w:tc>
          <w:tcPr>
            <w:tcW w:w="0" w:type="auto"/>
          </w:tcPr>
          <w:p w14:paraId="7D124638" w14:textId="654ED05E" w:rsidR="009B3885" w:rsidRPr="00790395" w:rsidRDefault="008C0DA0" w:rsidP="00627234">
            <w:pPr>
              <w:pBdr>
                <w:top w:val="nil"/>
                <w:left w:val="nil"/>
                <w:bottom w:val="nil"/>
                <w:right w:val="nil"/>
                <w:between w:val="nil"/>
              </w:pBdr>
              <w:spacing w:before="100" w:beforeAutospacing="1" w:after="100" w:afterAutospacing="1"/>
              <w:jc w:val="both"/>
              <w:rPr>
                <w:b/>
                <w:color w:val="000000"/>
                <w:lang w:val="sr-Latn-RS"/>
              </w:rPr>
            </w:pPr>
            <w:r w:rsidRPr="00790395">
              <w:rPr>
                <w:b/>
                <w:color w:val="000000"/>
                <w:lang w:val="sr-Latn-RS"/>
              </w:rPr>
              <w:t>282 million</w:t>
            </w:r>
            <w:r w:rsidR="00CE0B50" w:rsidRPr="00790395">
              <w:rPr>
                <w:b/>
                <w:color w:val="000000"/>
                <w:lang w:val="sr-Latn-RS"/>
              </w:rPr>
              <w:t>a</w:t>
            </w:r>
          </w:p>
        </w:tc>
      </w:tr>
    </w:tbl>
    <w:p w14:paraId="069E5B07" w14:textId="2D5A597F" w:rsidR="009B3885" w:rsidRPr="00CE50C5" w:rsidRDefault="008C0DA0" w:rsidP="00CE50C5">
      <w:pPr>
        <w:pStyle w:val="NoSpacing"/>
        <w:rPr>
          <w:sz w:val="24"/>
          <w:szCs w:val="24"/>
          <w:lang w:val="sr-Latn-RS"/>
        </w:rPr>
      </w:pPr>
      <w:r w:rsidRPr="00CE50C5">
        <w:rPr>
          <w:b/>
          <w:bCs/>
          <w:sz w:val="24"/>
          <w:szCs w:val="24"/>
          <w:lang w:val="sr-Latn-RS"/>
        </w:rPr>
        <w:t>Tab</w:t>
      </w:r>
      <w:r w:rsidR="00CE0B50" w:rsidRPr="00CE50C5">
        <w:rPr>
          <w:b/>
          <w:bCs/>
          <w:sz w:val="24"/>
          <w:szCs w:val="24"/>
          <w:lang w:val="sr-Latn-RS"/>
        </w:rPr>
        <w:t>ela</w:t>
      </w:r>
      <w:r w:rsidRPr="00CE50C5">
        <w:rPr>
          <w:b/>
          <w:bCs/>
          <w:sz w:val="24"/>
          <w:szCs w:val="24"/>
          <w:lang w:val="sr-Latn-RS"/>
        </w:rPr>
        <w:t xml:space="preserve"> 2:</w:t>
      </w:r>
      <w:r w:rsidRPr="00CE50C5">
        <w:rPr>
          <w:sz w:val="24"/>
          <w:szCs w:val="24"/>
          <w:lang w:val="sr-Latn-RS"/>
        </w:rPr>
        <w:t xml:space="preserve"> </w:t>
      </w:r>
      <w:r w:rsidR="00CE0B50" w:rsidRPr="00CE50C5">
        <w:rPr>
          <w:sz w:val="24"/>
          <w:szCs w:val="24"/>
          <w:lang w:val="sr-Latn-RS"/>
        </w:rPr>
        <w:t>Novčane</w:t>
      </w:r>
      <w:r w:rsidR="002C0A38" w:rsidRPr="00CE50C5">
        <w:rPr>
          <w:sz w:val="24"/>
          <w:szCs w:val="24"/>
          <w:lang w:val="sr-Latn-RS"/>
        </w:rPr>
        <w:t xml:space="preserve"> </w:t>
      </w:r>
      <w:r w:rsidR="004A5708" w:rsidRPr="00CE50C5">
        <w:rPr>
          <w:sz w:val="24"/>
          <w:szCs w:val="24"/>
          <w:lang w:val="sr-Latn-RS"/>
        </w:rPr>
        <w:t>kazne i penali</w:t>
      </w:r>
      <w:r w:rsidR="00CE0B50" w:rsidRPr="00CE50C5">
        <w:rPr>
          <w:sz w:val="24"/>
          <w:szCs w:val="24"/>
          <w:lang w:val="sr-Latn-RS"/>
        </w:rPr>
        <w:t xml:space="preserve"> u srpskom budžetu</w:t>
      </w:r>
      <w:r w:rsidR="004A5708" w:rsidRPr="00CE50C5">
        <w:rPr>
          <w:sz w:val="24"/>
          <w:szCs w:val="24"/>
          <w:lang w:val="sr-Latn-RS"/>
        </w:rPr>
        <w:t>,</w:t>
      </w:r>
      <w:r w:rsidR="00CE0B50" w:rsidRPr="00CE50C5">
        <w:rPr>
          <w:sz w:val="24"/>
          <w:szCs w:val="24"/>
          <w:lang w:val="sr-Latn-RS"/>
        </w:rPr>
        <w:t xml:space="preserve"> 2020.-2022. godina</w:t>
      </w:r>
    </w:p>
    <w:p w14:paraId="322D6019" w14:textId="7A80B6B9" w:rsidR="001B230C" w:rsidRPr="0067694E" w:rsidRDefault="00CE0B50" w:rsidP="004A5708">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67694E">
        <w:rPr>
          <w:color w:val="000000"/>
          <w:sz w:val="24"/>
          <w:szCs w:val="24"/>
          <w:lang w:val="sr-Latn-RS"/>
        </w:rPr>
        <w:t>Postoj</w:t>
      </w:r>
      <w:r w:rsidR="004A5708" w:rsidRPr="0067694E">
        <w:rPr>
          <w:color w:val="000000"/>
          <w:sz w:val="24"/>
          <w:szCs w:val="24"/>
          <w:lang w:val="sr-Latn-RS"/>
        </w:rPr>
        <w:t>e</w:t>
      </w:r>
      <w:r w:rsidRPr="0067694E">
        <w:rPr>
          <w:color w:val="000000"/>
          <w:sz w:val="24"/>
          <w:szCs w:val="24"/>
          <w:lang w:val="sr-Latn-RS"/>
        </w:rPr>
        <w:t xml:space="preserve"> različiti razlozi </w:t>
      </w:r>
      <w:r w:rsidR="004A5708" w:rsidRPr="0067694E">
        <w:rPr>
          <w:color w:val="000000"/>
          <w:sz w:val="24"/>
          <w:szCs w:val="24"/>
          <w:lang w:val="sr-Latn-RS"/>
        </w:rPr>
        <w:t xml:space="preserve">zbog kojih su isplaćivane ove kazne a </w:t>
      </w:r>
      <w:r w:rsidRPr="0067694E">
        <w:rPr>
          <w:color w:val="000000"/>
          <w:sz w:val="24"/>
          <w:szCs w:val="24"/>
          <w:lang w:val="sr-Latn-RS"/>
        </w:rPr>
        <w:t>koji su vezani za loše upravljanje fondovima</w:t>
      </w:r>
      <w:r w:rsidR="004A5708" w:rsidRPr="0067694E">
        <w:rPr>
          <w:color w:val="000000"/>
          <w:sz w:val="24"/>
          <w:szCs w:val="24"/>
          <w:lang w:val="sr-Latn-RS"/>
        </w:rPr>
        <w:t>,</w:t>
      </w:r>
      <w:r w:rsidRPr="0067694E">
        <w:rPr>
          <w:color w:val="000000"/>
          <w:sz w:val="24"/>
          <w:szCs w:val="24"/>
          <w:lang w:val="sr-Latn-RS"/>
        </w:rPr>
        <w:t xml:space="preserve"> koje je moglo da se izbegne.</w:t>
      </w:r>
      <w:r w:rsidRPr="0067694E">
        <w:rPr>
          <w:color w:val="000000"/>
          <w:sz w:val="24"/>
          <w:szCs w:val="24"/>
          <w:vertAlign w:val="superscript"/>
          <w:lang w:val="sr-Latn-RS"/>
        </w:rPr>
        <w:footnoteReference w:id="20"/>
      </w:r>
      <w:r w:rsidR="001B230C" w:rsidRPr="0067694E">
        <w:rPr>
          <w:color w:val="000000"/>
          <w:sz w:val="24"/>
          <w:szCs w:val="24"/>
          <w:lang w:val="sr-Latn-RS"/>
        </w:rPr>
        <w:t xml:space="preserve"> Srbija plaća kazne</w:t>
      </w:r>
      <w:r w:rsidR="002C0A38" w:rsidRPr="0067694E">
        <w:rPr>
          <w:color w:val="000000"/>
          <w:sz w:val="24"/>
          <w:szCs w:val="24"/>
          <w:lang w:val="sr-Latn-RS"/>
        </w:rPr>
        <w:t xml:space="preserve"> i </w:t>
      </w:r>
      <w:r w:rsidR="001B230C" w:rsidRPr="0067694E">
        <w:rPr>
          <w:color w:val="000000"/>
          <w:sz w:val="24"/>
          <w:szCs w:val="24"/>
          <w:lang w:val="sr-Latn-RS"/>
        </w:rPr>
        <w:t xml:space="preserve">penale u </w:t>
      </w:r>
      <w:r w:rsidR="004A5708" w:rsidRPr="0067694E">
        <w:rPr>
          <w:color w:val="000000"/>
          <w:sz w:val="24"/>
          <w:szCs w:val="24"/>
          <w:lang w:val="sr-Latn-RS"/>
        </w:rPr>
        <w:t>ponavljajućim</w:t>
      </w:r>
      <w:r w:rsidR="001B230C" w:rsidRPr="0067694E">
        <w:rPr>
          <w:color w:val="000000"/>
          <w:sz w:val="24"/>
          <w:szCs w:val="24"/>
          <w:lang w:val="sr-Latn-RS"/>
        </w:rPr>
        <w:t xml:space="preserve"> pojedinačnim sudskim postupcima, kao što su postupci koji se tiču </w:t>
      </w:r>
      <w:r w:rsidR="00D6182F" w:rsidRPr="0067694E">
        <w:rPr>
          <w:color w:val="000000"/>
          <w:sz w:val="24"/>
          <w:szCs w:val="24"/>
          <w:lang w:val="sr-Latn-RS"/>
        </w:rPr>
        <w:t>prava na suđenje u razumnom roku, 70.000 slučajeva neplaćenih dnevnica rezervistima tokom konflikata,</w:t>
      </w:r>
      <w:r w:rsidR="00D6182F" w:rsidRPr="0067694E">
        <w:rPr>
          <w:color w:val="000000"/>
          <w:sz w:val="24"/>
          <w:szCs w:val="24"/>
          <w:vertAlign w:val="superscript"/>
          <w:lang w:val="sr-Latn-RS"/>
        </w:rPr>
        <w:footnoteReference w:id="21"/>
      </w:r>
      <w:r w:rsidR="00D6182F" w:rsidRPr="0067694E">
        <w:rPr>
          <w:color w:val="000000"/>
          <w:sz w:val="24"/>
          <w:szCs w:val="24"/>
          <w:lang w:val="sr-Latn-RS"/>
        </w:rPr>
        <w:t xml:space="preserve"> slučajevima pogrešno izračunatih troškova predškolskog obrazovanja na lokalu,</w:t>
      </w:r>
      <w:r w:rsidR="00D6182F" w:rsidRPr="0067694E">
        <w:rPr>
          <w:color w:val="000000"/>
          <w:sz w:val="24"/>
          <w:szCs w:val="24"/>
          <w:vertAlign w:val="superscript"/>
          <w:lang w:val="sr-Latn-RS"/>
        </w:rPr>
        <w:footnoteReference w:id="22"/>
      </w:r>
      <w:r w:rsidR="00D6182F" w:rsidRPr="0067694E">
        <w:rPr>
          <w:color w:val="000000"/>
          <w:sz w:val="24"/>
          <w:szCs w:val="24"/>
          <w:lang w:val="sr-Latn-RS"/>
        </w:rPr>
        <w:t xml:space="preserve"> itd. Umesto što bi se ova sredstva koristila za plaćanje kazni</w:t>
      </w:r>
      <w:r w:rsidR="002C0A38" w:rsidRPr="0067694E">
        <w:rPr>
          <w:color w:val="000000"/>
          <w:sz w:val="24"/>
          <w:szCs w:val="24"/>
          <w:lang w:val="sr-Latn-RS"/>
        </w:rPr>
        <w:t xml:space="preserve"> i </w:t>
      </w:r>
      <w:r w:rsidR="00D6182F" w:rsidRPr="0067694E">
        <w:rPr>
          <w:color w:val="000000"/>
          <w:sz w:val="24"/>
          <w:szCs w:val="24"/>
          <w:lang w:val="sr-Latn-RS"/>
        </w:rPr>
        <w:t>penala zbog lošeg upravljanja ili arbitraž</w:t>
      </w:r>
      <w:r w:rsidR="0067694E" w:rsidRPr="0067694E">
        <w:rPr>
          <w:color w:val="000000"/>
          <w:sz w:val="24"/>
          <w:szCs w:val="24"/>
          <w:lang w:val="sr-Latn-RS"/>
        </w:rPr>
        <w:t>nih postupaka</w:t>
      </w:r>
      <w:r w:rsidR="00D6182F" w:rsidRPr="0067694E">
        <w:rPr>
          <w:color w:val="000000"/>
          <w:sz w:val="24"/>
          <w:szCs w:val="24"/>
          <w:lang w:val="sr-Latn-RS"/>
        </w:rPr>
        <w:t xml:space="preserve">, ove resurse je trebalo </w:t>
      </w:r>
      <w:r w:rsidR="00C257BE" w:rsidRPr="0067694E">
        <w:rPr>
          <w:color w:val="000000"/>
          <w:sz w:val="24"/>
          <w:szCs w:val="24"/>
          <w:lang w:val="sr-Latn-RS"/>
        </w:rPr>
        <w:t>alocirati</w:t>
      </w:r>
      <w:r w:rsidR="002C0A38" w:rsidRPr="0067694E">
        <w:rPr>
          <w:color w:val="000000"/>
          <w:sz w:val="24"/>
          <w:szCs w:val="24"/>
          <w:lang w:val="sr-Latn-RS"/>
        </w:rPr>
        <w:t xml:space="preserve"> i </w:t>
      </w:r>
      <w:r w:rsidR="00C257BE" w:rsidRPr="0067694E">
        <w:rPr>
          <w:color w:val="000000"/>
          <w:sz w:val="24"/>
          <w:szCs w:val="24"/>
          <w:lang w:val="sr-Latn-RS"/>
        </w:rPr>
        <w:t>potrošiti na ostvarivanje ekonomskih</w:t>
      </w:r>
      <w:r w:rsidR="002C0A38" w:rsidRPr="0067694E">
        <w:rPr>
          <w:color w:val="000000"/>
          <w:sz w:val="24"/>
          <w:szCs w:val="24"/>
          <w:lang w:val="sr-Latn-RS"/>
        </w:rPr>
        <w:t xml:space="preserve"> i </w:t>
      </w:r>
      <w:r w:rsidR="00C257BE" w:rsidRPr="0067694E">
        <w:rPr>
          <w:color w:val="000000"/>
          <w:sz w:val="24"/>
          <w:szCs w:val="24"/>
          <w:lang w:val="sr-Latn-RS"/>
        </w:rPr>
        <w:t>socijalnih prava, kao</w:t>
      </w:r>
      <w:r w:rsidR="002C0A38" w:rsidRPr="0067694E">
        <w:rPr>
          <w:color w:val="000000"/>
          <w:sz w:val="24"/>
          <w:szCs w:val="24"/>
          <w:lang w:val="sr-Latn-RS"/>
        </w:rPr>
        <w:t xml:space="preserve"> i </w:t>
      </w:r>
      <w:r w:rsidR="00C257BE" w:rsidRPr="0067694E">
        <w:rPr>
          <w:color w:val="000000"/>
          <w:sz w:val="24"/>
          <w:szCs w:val="24"/>
          <w:lang w:val="sr-Latn-RS"/>
        </w:rPr>
        <w:t>na povećanje javnih rashoda za socijalnu zaštitu, socijalno stanovanje, investicije u zdravstveni sistem,</w:t>
      </w:r>
      <w:r w:rsidR="002C0A38" w:rsidRPr="0067694E">
        <w:rPr>
          <w:color w:val="000000"/>
          <w:sz w:val="24"/>
          <w:szCs w:val="24"/>
          <w:lang w:val="sr-Latn-RS"/>
        </w:rPr>
        <w:t xml:space="preserve"> i </w:t>
      </w:r>
      <w:r w:rsidR="00C257BE" w:rsidRPr="0067694E">
        <w:rPr>
          <w:color w:val="000000"/>
          <w:sz w:val="24"/>
          <w:szCs w:val="24"/>
          <w:lang w:val="sr-Latn-RS"/>
        </w:rPr>
        <w:t xml:space="preserve">podršku adekvatnom stanovanju </w:t>
      </w:r>
      <w:r w:rsidR="00CE50C5" w:rsidRPr="0067694E">
        <w:rPr>
          <w:color w:val="000000"/>
          <w:sz w:val="24"/>
          <w:szCs w:val="24"/>
          <w:lang w:val="sr-Latn-RS"/>
        </w:rPr>
        <w:t>R</w:t>
      </w:r>
      <w:r w:rsidR="00C257BE" w:rsidRPr="0067694E">
        <w:rPr>
          <w:color w:val="000000"/>
          <w:sz w:val="24"/>
          <w:szCs w:val="24"/>
          <w:lang w:val="sr-Latn-RS"/>
        </w:rPr>
        <w:t>om</w:t>
      </w:r>
      <w:r w:rsidR="004A5708" w:rsidRPr="0067694E">
        <w:rPr>
          <w:color w:val="000000"/>
          <w:sz w:val="24"/>
          <w:szCs w:val="24"/>
          <w:lang w:val="sr-Latn-RS"/>
        </w:rPr>
        <w:t>ima</w:t>
      </w:r>
      <w:r w:rsidR="00C257BE" w:rsidRPr="0067694E">
        <w:rPr>
          <w:color w:val="000000"/>
          <w:sz w:val="24"/>
          <w:szCs w:val="24"/>
          <w:lang w:val="sr-Latn-RS"/>
        </w:rPr>
        <w:t xml:space="preserve"> koji </w:t>
      </w:r>
      <w:r w:rsidR="004A5708" w:rsidRPr="0067694E">
        <w:rPr>
          <w:color w:val="000000"/>
          <w:sz w:val="24"/>
          <w:szCs w:val="24"/>
          <w:lang w:val="sr-Latn-RS"/>
        </w:rPr>
        <w:t>ž</w:t>
      </w:r>
      <w:r w:rsidR="00C257BE" w:rsidRPr="0067694E">
        <w:rPr>
          <w:color w:val="000000"/>
          <w:sz w:val="24"/>
          <w:szCs w:val="24"/>
          <w:lang w:val="sr-Latn-RS"/>
        </w:rPr>
        <w:t>ive u preko 700 neformalnih naselja bez pristupa struji, vodi, kanalizaciji</w:t>
      </w:r>
      <w:r w:rsidR="002C0A38" w:rsidRPr="0067694E">
        <w:rPr>
          <w:color w:val="000000"/>
          <w:sz w:val="24"/>
          <w:szCs w:val="24"/>
          <w:lang w:val="sr-Latn-RS"/>
        </w:rPr>
        <w:t xml:space="preserve"> i </w:t>
      </w:r>
      <w:r w:rsidR="004A5708" w:rsidRPr="0067694E">
        <w:rPr>
          <w:color w:val="000000"/>
          <w:sz w:val="24"/>
          <w:szCs w:val="24"/>
          <w:lang w:val="sr-Latn-RS"/>
        </w:rPr>
        <w:t>osnovnim</w:t>
      </w:r>
      <w:r w:rsidR="00C257BE" w:rsidRPr="0067694E">
        <w:rPr>
          <w:color w:val="000000"/>
          <w:sz w:val="24"/>
          <w:szCs w:val="24"/>
          <w:lang w:val="sr-Latn-RS"/>
        </w:rPr>
        <w:t xml:space="preserve"> uslugama.</w:t>
      </w:r>
      <w:r w:rsidR="00C257BE" w:rsidRPr="0067694E">
        <w:rPr>
          <w:sz w:val="24"/>
          <w:szCs w:val="24"/>
          <w:vertAlign w:val="superscript"/>
          <w:lang w:val="sr-Latn-RS"/>
        </w:rPr>
        <w:footnoteReference w:id="23"/>
      </w:r>
    </w:p>
    <w:p w14:paraId="71C1D0AC" w14:textId="1F9EE06E" w:rsidR="00912B22" w:rsidRPr="00790395" w:rsidRDefault="00C257BE" w:rsidP="00912B22">
      <w:pPr>
        <w:numPr>
          <w:ilvl w:val="0"/>
          <w:numId w:val="3"/>
        </w:numPr>
        <w:pBdr>
          <w:top w:val="nil"/>
          <w:left w:val="nil"/>
          <w:bottom w:val="nil"/>
          <w:right w:val="nil"/>
          <w:between w:val="nil"/>
        </w:pBdr>
        <w:spacing w:before="100" w:beforeAutospacing="1" w:after="100" w:afterAutospacing="1" w:line="240" w:lineRule="auto"/>
        <w:ind w:left="0" w:firstLine="0"/>
        <w:jc w:val="both"/>
        <w:rPr>
          <w:b/>
          <w:bCs/>
          <w:color w:val="000000"/>
          <w:sz w:val="24"/>
          <w:szCs w:val="24"/>
          <w:lang w:val="sr-Latn-RS"/>
        </w:rPr>
      </w:pPr>
      <w:r w:rsidRPr="00790395">
        <w:rPr>
          <w:b/>
          <w:bCs/>
          <w:color w:val="000000"/>
          <w:sz w:val="24"/>
          <w:szCs w:val="24"/>
          <w:lang w:val="sr-Latn-RS"/>
        </w:rPr>
        <w:t>Neuspeh države da potroši izdvojena sredstva prikupljen</w:t>
      </w:r>
      <w:r w:rsidR="000D129B" w:rsidRPr="00790395">
        <w:rPr>
          <w:b/>
          <w:bCs/>
          <w:color w:val="000000"/>
          <w:sz w:val="24"/>
          <w:szCs w:val="24"/>
          <w:lang w:val="sr-Latn-RS"/>
        </w:rPr>
        <w:t>a</w:t>
      </w:r>
      <w:r w:rsidRPr="00790395">
        <w:rPr>
          <w:b/>
          <w:bCs/>
          <w:color w:val="000000"/>
          <w:sz w:val="24"/>
          <w:szCs w:val="24"/>
          <w:lang w:val="sr-Latn-RS"/>
        </w:rPr>
        <w:t xml:space="preserve"> kroz ugovore o zajmu na ostvarivanje ekonomskih</w:t>
      </w:r>
      <w:r w:rsidR="002C0A38">
        <w:rPr>
          <w:b/>
          <w:bCs/>
          <w:color w:val="000000"/>
          <w:sz w:val="24"/>
          <w:szCs w:val="24"/>
          <w:lang w:val="sr-Latn-RS"/>
        </w:rPr>
        <w:t xml:space="preserve"> i </w:t>
      </w:r>
      <w:r w:rsidRPr="00790395">
        <w:rPr>
          <w:b/>
          <w:bCs/>
          <w:color w:val="000000"/>
          <w:sz w:val="24"/>
          <w:szCs w:val="24"/>
          <w:lang w:val="sr-Latn-RS"/>
        </w:rPr>
        <w:t>socijalnih prava predstavlja još jedan primer lošeg upravljanja javnim sredstvima.</w:t>
      </w:r>
      <w:r w:rsidR="000D129B" w:rsidRPr="00790395">
        <w:rPr>
          <w:b/>
          <w:bCs/>
          <w:color w:val="000000"/>
          <w:sz w:val="24"/>
          <w:szCs w:val="24"/>
          <w:lang w:val="sr-Latn-RS"/>
        </w:rPr>
        <w:t xml:space="preserve"> </w:t>
      </w:r>
      <w:r w:rsidR="000D129B" w:rsidRPr="00790395">
        <w:rPr>
          <w:color w:val="000000"/>
          <w:sz w:val="24"/>
          <w:szCs w:val="24"/>
          <w:lang w:val="sr-Latn-RS"/>
        </w:rPr>
        <w:t>Ovo utiče na dalja ulaganja u sektore relevantne za uživanje ekonomskih, socijalnih</w:t>
      </w:r>
      <w:r w:rsidR="002C0A38">
        <w:rPr>
          <w:color w:val="000000"/>
          <w:sz w:val="24"/>
          <w:szCs w:val="24"/>
          <w:lang w:val="sr-Latn-RS"/>
        </w:rPr>
        <w:t xml:space="preserve"> i </w:t>
      </w:r>
      <w:r w:rsidR="000D129B" w:rsidRPr="00790395">
        <w:rPr>
          <w:color w:val="000000"/>
          <w:sz w:val="24"/>
          <w:szCs w:val="24"/>
          <w:lang w:val="sr-Latn-RS"/>
        </w:rPr>
        <w:t>kulturnih prava</w:t>
      </w:r>
      <w:r w:rsidR="002C0A38">
        <w:rPr>
          <w:color w:val="000000"/>
          <w:sz w:val="24"/>
          <w:szCs w:val="24"/>
          <w:lang w:val="sr-Latn-RS"/>
        </w:rPr>
        <w:t xml:space="preserve"> i </w:t>
      </w:r>
      <w:r w:rsidR="000D129B" w:rsidRPr="00790395">
        <w:rPr>
          <w:color w:val="000000"/>
          <w:sz w:val="24"/>
          <w:szCs w:val="24"/>
          <w:lang w:val="sr-Latn-RS"/>
        </w:rPr>
        <w:t xml:space="preserve">dodatno </w:t>
      </w:r>
      <w:r w:rsidR="00D4319C" w:rsidRPr="00790395">
        <w:rPr>
          <w:color w:val="000000"/>
          <w:sz w:val="24"/>
          <w:szCs w:val="24"/>
          <w:lang w:val="sr-Latn-RS"/>
        </w:rPr>
        <w:t>pospešuje uskraćivanje ovih prava</w:t>
      </w:r>
      <w:r w:rsidR="000D129B" w:rsidRPr="00790395">
        <w:rPr>
          <w:color w:val="000000"/>
          <w:sz w:val="24"/>
          <w:szCs w:val="24"/>
          <w:lang w:val="sr-Latn-RS"/>
        </w:rPr>
        <w:t xml:space="preserve">. </w:t>
      </w:r>
      <w:r w:rsidR="00D4319C" w:rsidRPr="00790395">
        <w:rPr>
          <w:color w:val="000000"/>
          <w:sz w:val="24"/>
          <w:szCs w:val="24"/>
          <w:lang w:val="sr-Latn-RS"/>
        </w:rPr>
        <w:t xml:space="preserve">Primera radi, </w:t>
      </w:r>
      <w:r w:rsidR="00475F3A" w:rsidRPr="00790395">
        <w:rPr>
          <w:color w:val="000000"/>
          <w:sz w:val="24"/>
          <w:szCs w:val="24"/>
          <w:lang w:val="sr-Latn-RS"/>
        </w:rPr>
        <w:t>krediti</w:t>
      </w:r>
      <w:r w:rsidR="002C0A38">
        <w:rPr>
          <w:color w:val="000000"/>
          <w:sz w:val="24"/>
          <w:szCs w:val="24"/>
          <w:lang w:val="sr-Latn-RS"/>
        </w:rPr>
        <w:t xml:space="preserve"> i </w:t>
      </w:r>
      <w:r w:rsidR="00D4319C" w:rsidRPr="00790395">
        <w:rPr>
          <w:color w:val="000000"/>
          <w:sz w:val="24"/>
          <w:szCs w:val="24"/>
          <w:lang w:val="sr-Latn-RS"/>
        </w:rPr>
        <w:t>donatorsk</w:t>
      </w:r>
      <w:r w:rsidR="00475F3A" w:rsidRPr="00790395">
        <w:rPr>
          <w:color w:val="000000"/>
          <w:sz w:val="24"/>
          <w:szCs w:val="24"/>
          <w:lang w:val="sr-Latn-RS"/>
        </w:rPr>
        <w:t>a sredstva</w:t>
      </w:r>
      <w:r w:rsidR="00D4319C" w:rsidRPr="00790395">
        <w:rPr>
          <w:color w:val="000000"/>
          <w:sz w:val="24"/>
          <w:szCs w:val="24"/>
          <w:lang w:val="sr-Latn-RS"/>
        </w:rPr>
        <w:t xml:space="preserve"> usmeren</w:t>
      </w:r>
      <w:r w:rsidR="00475F3A" w:rsidRPr="00790395">
        <w:rPr>
          <w:color w:val="000000"/>
          <w:sz w:val="24"/>
          <w:szCs w:val="24"/>
          <w:lang w:val="sr-Latn-RS"/>
        </w:rPr>
        <w:t>a</w:t>
      </w:r>
      <w:r w:rsidR="00D4319C" w:rsidRPr="00790395">
        <w:rPr>
          <w:color w:val="000000"/>
          <w:sz w:val="24"/>
          <w:szCs w:val="24"/>
          <w:lang w:val="sr-Latn-RS"/>
        </w:rPr>
        <w:t xml:space="preserve"> ka unapređenju ekonomskih</w:t>
      </w:r>
      <w:r w:rsidR="002C0A38">
        <w:rPr>
          <w:color w:val="000000"/>
          <w:sz w:val="24"/>
          <w:szCs w:val="24"/>
          <w:lang w:val="sr-Latn-RS"/>
        </w:rPr>
        <w:t xml:space="preserve"> i </w:t>
      </w:r>
      <w:r w:rsidR="00D4319C" w:rsidRPr="00790395">
        <w:rPr>
          <w:color w:val="000000"/>
          <w:sz w:val="24"/>
          <w:szCs w:val="24"/>
          <w:lang w:val="sr-Latn-RS"/>
        </w:rPr>
        <w:t>socijalnih prava se ne troše na efikasan način, ili se pak uopšte ne troše. Razvojna banka Saveta Evrope je</w:t>
      </w:r>
      <w:r w:rsidR="00475F3A" w:rsidRPr="00790395">
        <w:rPr>
          <w:color w:val="000000"/>
          <w:sz w:val="24"/>
          <w:szCs w:val="24"/>
          <w:lang w:val="sr-Latn-RS"/>
        </w:rPr>
        <w:t xml:space="preserve"> već 2018. godine</w:t>
      </w:r>
      <w:r w:rsidR="00D4319C" w:rsidRPr="00790395">
        <w:rPr>
          <w:color w:val="000000"/>
          <w:sz w:val="24"/>
          <w:szCs w:val="24"/>
          <w:lang w:val="sr-Latn-RS"/>
        </w:rPr>
        <w:t xml:space="preserve"> </w:t>
      </w:r>
      <w:r w:rsidR="00E8284F" w:rsidRPr="00790395">
        <w:rPr>
          <w:color w:val="000000"/>
          <w:sz w:val="24"/>
          <w:szCs w:val="24"/>
          <w:lang w:val="sr-Latn-RS"/>
        </w:rPr>
        <w:lastRenderedPageBreak/>
        <w:t>obezbedila</w:t>
      </w:r>
      <w:r w:rsidR="00D4319C" w:rsidRPr="00790395">
        <w:rPr>
          <w:color w:val="000000"/>
          <w:sz w:val="24"/>
          <w:szCs w:val="24"/>
          <w:lang w:val="sr-Latn-RS"/>
        </w:rPr>
        <w:t xml:space="preserve"> sredstva</w:t>
      </w:r>
      <w:r w:rsidR="00E8284F" w:rsidRPr="00790395">
        <w:rPr>
          <w:color w:val="000000"/>
          <w:sz w:val="24"/>
          <w:szCs w:val="24"/>
          <w:lang w:val="sr-Latn-RS"/>
        </w:rPr>
        <w:t xml:space="preserve"> za investicije u</w:t>
      </w:r>
      <w:r w:rsidR="00D4319C" w:rsidRPr="00790395">
        <w:rPr>
          <w:color w:val="000000"/>
          <w:sz w:val="24"/>
          <w:szCs w:val="24"/>
          <w:lang w:val="sr-Latn-RS"/>
        </w:rPr>
        <w:t xml:space="preserve"> Univerzitetsk</w:t>
      </w:r>
      <w:r w:rsidR="00E8284F" w:rsidRPr="00790395">
        <w:rPr>
          <w:color w:val="000000"/>
          <w:sz w:val="24"/>
          <w:szCs w:val="24"/>
          <w:lang w:val="sr-Latn-RS"/>
        </w:rPr>
        <w:t>u</w:t>
      </w:r>
      <w:r w:rsidR="00D4319C" w:rsidRPr="00790395">
        <w:rPr>
          <w:color w:val="000000"/>
          <w:sz w:val="24"/>
          <w:szCs w:val="24"/>
          <w:lang w:val="sr-Latn-RS"/>
        </w:rPr>
        <w:t xml:space="preserve"> dečij</w:t>
      </w:r>
      <w:r w:rsidR="00E8284F" w:rsidRPr="00790395">
        <w:rPr>
          <w:color w:val="000000"/>
          <w:sz w:val="24"/>
          <w:szCs w:val="24"/>
          <w:lang w:val="sr-Latn-RS"/>
        </w:rPr>
        <w:t>u</w:t>
      </w:r>
      <w:r w:rsidR="00D4319C" w:rsidRPr="00790395">
        <w:rPr>
          <w:color w:val="000000"/>
          <w:sz w:val="24"/>
          <w:szCs w:val="24"/>
          <w:lang w:val="sr-Latn-RS"/>
        </w:rPr>
        <w:t xml:space="preserve"> </w:t>
      </w:r>
      <w:r w:rsidR="00E8284F" w:rsidRPr="00790395">
        <w:rPr>
          <w:color w:val="000000"/>
          <w:sz w:val="24"/>
          <w:szCs w:val="24"/>
          <w:lang w:val="sr-Latn-RS"/>
        </w:rPr>
        <w:t>kliniku „Tiršova“,</w:t>
      </w:r>
      <w:r w:rsidR="000E49D9" w:rsidRPr="00790395">
        <w:rPr>
          <w:color w:val="000000"/>
          <w:sz w:val="24"/>
          <w:szCs w:val="24"/>
          <w:vertAlign w:val="superscript"/>
          <w:lang w:val="sr-Latn-RS"/>
        </w:rPr>
        <w:footnoteReference w:id="24"/>
      </w:r>
      <w:r w:rsidR="00E8284F" w:rsidRPr="00790395">
        <w:rPr>
          <w:color w:val="000000"/>
          <w:sz w:val="24"/>
          <w:szCs w:val="24"/>
          <w:lang w:val="sr-Latn-RS"/>
        </w:rPr>
        <w:t xml:space="preserve"> ali su pripremne aktivnosti</w:t>
      </w:r>
      <w:r w:rsidR="002C0A38">
        <w:rPr>
          <w:color w:val="000000"/>
          <w:sz w:val="24"/>
          <w:szCs w:val="24"/>
          <w:lang w:val="sr-Latn-RS"/>
        </w:rPr>
        <w:t xml:space="preserve"> i </w:t>
      </w:r>
      <w:r w:rsidR="00475F3A" w:rsidRPr="00790395">
        <w:rPr>
          <w:color w:val="000000"/>
          <w:sz w:val="24"/>
          <w:szCs w:val="24"/>
          <w:lang w:val="sr-Latn-RS"/>
        </w:rPr>
        <w:t>realizacija kredita</w:t>
      </w:r>
      <w:r w:rsidR="00E8284F" w:rsidRPr="00790395">
        <w:rPr>
          <w:color w:val="000000"/>
          <w:sz w:val="24"/>
          <w:szCs w:val="24"/>
          <w:lang w:val="sr-Latn-RS"/>
        </w:rPr>
        <w:t xml:space="preserve"> </w:t>
      </w:r>
      <w:r w:rsidR="00475F3A" w:rsidRPr="00790395">
        <w:rPr>
          <w:color w:val="000000"/>
          <w:sz w:val="24"/>
          <w:szCs w:val="24"/>
          <w:lang w:val="sr-Latn-RS"/>
        </w:rPr>
        <w:t>počele</w:t>
      </w:r>
      <w:r w:rsidR="00E8284F" w:rsidRPr="00790395">
        <w:rPr>
          <w:color w:val="000000"/>
          <w:sz w:val="24"/>
          <w:szCs w:val="24"/>
          <w:lang w:val="sr-Latn-RS"/>
        </w:rPr>
        <w:t xml:space="preserve"> tek u septembru 2021. godine. </w:t>
      </w:r>
      <w:r w:rsidR="000E49D9" w:rsidRPr="00790395">
        <w:rPr>
          <w:color w:val="000000"/>
          <w:sz w:val="24"/>
          <w:szCs w:val="24"/>
          <w:lang w:val="sr-Latn-RS"/>
        </w:rPr>
        <w:t xml:space="preserve">Drugi </w:t>
      </w:r>
      <w:r w:rsidR="00EE24DB" w:rsidRPr="00790395">
        <w:rPr>
          <w:color w:val="000000"/>
          <w:sz w:val="24"/>
          <w:szCs w:val="24"/>
          <w:lang w:val="sr-Latn-RS"/>
        </w:rPr>
        <w:t>sektori</w:t>
      </w:r>
      <w:r w:rsidR="000E49D9" w:rsidRPr="00790395">
        <w:rPr>
          <w:color w:val="000000"/>
          <w:sz w:val="24"/>
          <w:szCs w:val="24"/>
          <w:lang w:val="sr-Latn-RS"/>
        </w:rPr>
        <w:t xml:space="preserve"> Vlade takođe su propustili da </w:t>
      </w:r>
      <w:r w:rsidR="004A5708">
        <w:rPr>
          <w:color w:val="000000"/>
          <w:sz w:val="24"/>
          <w:szCs w:val="24"/>
          <w:lang w:val="sr-Latn-RS"/>
        </w:rPr>
        <w:t>mobilišu</w:t>
      </w:r>
      <w:r w:rsidR="000E49D9" w:rsidRPr="00790395">
        <w:rPr>
          <w:color w:val="000000"/>
          <w:sz w:val="24"/>
          <w:szCs w:val="24"/>
          <w:lang w:val="sr-Latn-RS"/>
        </w:rPr>
        <w:t xml:space="preserve"> već dodeljena sredstva, posebno ona sredstva koja su dobijena kroz podršku međunarodnih donatora. Između 2016 – 2020. godine, Ministarstvo za rad, zapošljavanje, boračka</w:t>
      </w:r>
      <w:r w:rsidR="002C0A38">
        <w:rPr>
          <w:color w:val="000000"/>
          <w:sz w:val="24"/>
          <w:szCs w:val="24"/>
          <w:lang w:val="sr-Latn-RS"/>
        </w:rPr>
        <w:t xml:space="preserve"> i </w:t>
      </w:r>
      <w:r w:rsidR="000E49D9" w:rsidRPr="00790395">
        <w:rPr>
          <w:color w:val="000000"/>
          <w:sz w:val="24"/>
          <w:szCs w:val="24"/>
          <w:lang w:val="sr-Latn-RS"/>
        </w:rPr>
        <w:t>socijalna pitanja (MinRZS) je u proseku uspevalo da mobiliše svega 31% sredstava iz odobrenih IPA fondova</w:t>
      </w:r>
      <w:r w:rsidR="00A61F9D" w:rsidRPr="00790395">
        <w:rPr>
          <w:color w:val="000000"/>
          <w:sz w:val="24"/>
          <w:szCs w:val="24"/>
          <w:lang w:val="sr-Latn-RS"/>
        </w:rPr>
        <w:t xml:space="preserve"> EU</w:t>
      </w:r>
      <w:r w:rsidR="000E49D9" w:rsidRPr="00790395">
        <w:rPr>
          <w:color w:val="000000"/>
          <w:sz w:val="24"/>
          <w:szCs w:val="24"/>
          <w:lang w:val="sr-Latn-RS"/>
        </w:rPr>
        <w:t>.</w:t>
      </w:r>
      <w:r w:rsidR="00A61F9D" w:rsidRPr="00790395">
        <w:rPr>
          <w:color w:val="000000"/>
          <w:sz w:val="24"/>
          <w:szCs w:val="24"/>
          <w:lang w:val="sr-Latn-RS"/>
        </w:rPr>
        <w:t xml:space="preserve"> Ovo ministarstvo je u 2016. godini potrošilo samo 1% odobrenih IPA fondova EU, 2018. </w:t>
      </w:r>
      <w:r w:rsidR="00710E0B" w:rsidRPr="00790395">
        <w:rPr>
          <w:color w:val="000000"/>
          <w:sz w:val="24"/>
          <w:szCs w:val="24"/>
          <w:lang w:val="sr-Latn-RS"/>
        </w:rPr>
        <w:t xml:space="preserve">godine </w:t>
      </w:r>
      <w:r w:rsidR="00A61F9D" w:rsidRPr="00790395">
        <w:rPr>
          <w:color w:val="000000"/>
          <w:sz w:val="24"/>
          <w:szCs w:val="24"/>
          <w:lang w:val="sr-Latn-RS"/>
        </w:rPr>
        <w:t xml:space="preserve">je stopa </w:t>
      </w:r>
      <w:r w:rsidR="00912B22" w:rsidRPr="00790395">
        <w:rPr>
          <w:color w:val="000000"/>
          <w:sz w:val="24"/>
          <w:szCs w:val="24"/>
          <w:lang w:val="sr-Latn-RS"/>
        </w:rPr>
        <w:t>potrošenih sredstava iznosila 7% odobrenog budžeta, dok je 2020.</w:t>
      </w:r>
      <w:r w:rsidR="00912B22" w:rsidRPr="00790395">
        <w:rPr>
          <w:b/>
          <w:bCs/>
          <w:color w:val="000000"/>
          <w:sz w:val="24"/>
          <w:szCs w:val="24"/>
          <w:lang w:val="sr-Latn-RS"/>
        </w:rPr>
        <w:t xml:space="preserve"> </w:t>
      </w:r>
      <w:r w:rsidR="00912B22" w:rsidRPr="00790395">
        <w:rPr>
          <w:color w:val="000000"/>
          <w:sz w:val="24"/>
          <w:szCs w:val="24"/>
          <w:lang w:val="sr-Latn-RS"/>
        </w:rPr>
        <w:t>godine navodno potrošnja iznosila 44% odobrenog budžeta.</w:t>
      </w:r>
    </w:p>
    <w:p w14:paraId="591EC0B6" w14:textId="019440CC" w:rsidR="00627234" w:rsidRPr="00790395" w:rsidRDefault="00912B22" w:rsidP="00627234">
      <w:pPr>
        <w:pStyle w:val="Heading2"/>
        <w:spacing w:before="100" w:beforeAutospacing="1" w:after="100" w:afterAutospacing="1" w:line="240" w:lineRule="auto"/>
        <w:rPr>
          <w:b w:val="0"/>
          <w:bCs/>
          <w:sz w:val="24"/>
          <w:szCs w:val="24"/>
          <w:u w:val="single"/>
          <w:lang w:val="sr-Latn-RS"/>
        </w:rPr>
      </w:pPr>
      <w:bookmarkStart w:id="3" w:name="_Toc93689880"/>
      <w:r w:rsidRPr="00790395">
        <w:rPr>
          <w:b w:val="0"/>
          <w:bCs/>
          <w:sz w:val="24"/>
          <w:szCs w:val="24"/>
          <w:u w:val="single"/>
          <w:lang w:val="sr-Latn-RS"/>
        </w:rPr>
        <w:t>Smanjenje javnih investicija u ekonomska</w:t>
      </w:r>
      <w:r w:rsidR="002C0A38">
        <w:rPr>
          <w:b w:val="0"/>
          <w:bCs/>
          <w:sz w:val="24"/>
          <w:szCs w:val="24"/>
          <w:u w:val="single"/>
          <w:lang w:val="sr-Latn-RS"/>
        </w:rPr>
        <w:t xml:space="preserve"> i </w:t>
      </w:r>
      <w:r w:rsidRPr="00790395">
        <w:rPr>
          <w:b w:val="0"/>
          <w:bCs/>
          <w:sz w:val="24"/>
          <w:szCs w:val="24"/>
          <w:u w:val="single"/>
          <w:lang w:val="sr-Latn-RS"/>
        </w:rPr>
        <w:t>socijalna prava</w:t>
      </w:r>
      <w:bookmarkEnd w:id="3"/>
      <w:r w:rsidR="008C0DA0" w:rsidRPr="00790395">
        <w:rPr>
          <w:b w:val="0"/>
          <w:bCs/>
          <w:sz w:val="24"/>
          <w:szCs w:val="24"/>
          <w:u w:val="single"/>
          <w:lang w:val="sr-Latn-RS"/>
        </w:rPr>
        <w:t xml:space="preserve"> </w:t>
      </w:r>
    </w:p>
    <w:p w14:paraId="6574BB16" w14:textId="7B34CC28" w:rsidR="006E73A1" w:rsidRPr="00790395" w:rsidRDefault="00912B22" w:rsidP="006E73A1">
      <w:pPr>
        <w:numPr>
          <w:ilvl w:val="0"/>
          <w:numId w:val="3"/>
        </w:numPr>
        <w:pBdr>
          <w:top w:val="nil"/>
          <w:left w:val="nil"/>
          <w:bottom w:val="nil"/>
          <w:right w:val="nil"/>
          <w:between w:val="nil"/>
        </w:pBdr>
        <w:spacing w:before="100" w:beforeAutospacing="1" w:after="100" w:afterAutospacing="1" w:line="240" w:lineRule="auto"/>
        <w:ind w:left="0" w:firstLine="0"/>
        <w:jc w:val="both"/>
        <w:rPr>
          <w:b/>
          <w:bCs/>
          <w:sz w:val="24"/>
          <w:szCs w:val="24"/>
          <w:lang w:val="sr-Latn-RS"/>
        </w:rPr>
      </w:pPr>
      <w:r w:rsidRPr="00790395">
        <w:rPr>
          <w:b/>
          <w:bCs/>
          <w:sz w:val="24"/>
          <w:szCs w:val="24"/>
          <w:lang w:val="sr-Latn-RS"/>
        </w:rPr>
        <w:t>Još jedan ilustrativan primer nedostatka mobilizacije resursa za progresivnu realizaciju ekonomskih, socijalnih</w:t>
      </w:r>
      <w:r w:rsidR="002C0A38">
        <w:rPr>
          <w:b/>
          <w:bCs/>
          <w:sz w:val="24"/>
          <w:szCs w:val="24"/>
          <w:lang w:val="sr-Latn-RS"/>
        </w:rPr>
        <w:t xml:space="preserve"> i </w:t>
      </w:r>
      <w:r w:rsidRPr="00790395">
        <w:rPr>
          <w:b/>
          <w:bCs/>
          <w:sz w:val="24"/>
          <w:szCs w:val="24"/>
          <w:lang w:val="sr-Latn-RS"/>
        </w:rPr>
        <w:t>kulturnih prava vezan</w:t>
      </w:r>
      <w:r w:rsidR="006E73A1" w:rsidRPr="00790395">
        <w:rPr>
          <w:b/>
          <w:bCs/>
          <w:sz w:val="24"/>
          <w:szCs w:val="24"/>
          <w:lang w:val="sr-Latn-RS"/>
        </w:rPr>
        <w:t xml:space="preserve"> je</w:t>
      </w:r>
      <w:r w:rsidRPr="00790395">
        <w:rPr>
          <w:b/>
          <w:bCs/>
          <w:sz w:val="24"/>
          <w:szCs w:val="24"/>
          <w:lang w:val="sr-Latn-RS"/>
        </w:rPr>
        <w:t xml:space="preserve"> za javne investicije u zdravstv</w:t>
      </w:r>
      <w:r w:rsidR="006E73A1" w:rsidRPr="00790395">
        <w:rPr>
          <w:b/>
          <w:bCs/>
          <w:sz w:val="24"/>
          <w:szCs w:val="24"/>
          <w:lang w:val="sr-Latn-RS"/>
        </w:rPr>
        <w:t>o</w:t>
      </w:r>
      <w:r w:rsidR="002C0A38">
        <w:rPr>
          <w:b/>
          <w:bCs/>
          <w:sz w:val="24"/>
          <w:szCs w:val="24"/>
          <w:lang w:val="sr-Latn-RS"/>
        </w:rPr>
        <w:t xml:space="preserve"> i </w:t>
      </w:r>
      <w:r w:rsidRPr="00790395">
        <w:rPr>
          <w:b/>
          <w:bCs/>
          <w:sz w:val="24"/>
          <w:szCs w:val="24"/>
          <w:lang w:val="sr-Latn-RS"/>
        </w:rPr>
        <w:t>obrazovanj</w:t>
      </w:r>
      <w:r w:rsidR="006E73A1" w:rsidRPr="00790395">
        <w:rPr>
          <w:b/>
          <w:bCs/>
          <w:sz w:val="24"/>
          <w:szCs w:val="24"/>
          <w:lang w:val="sr-Latn-RS"/>
        </w:rPr>
        <w:t>e</w:t>
      </w:r>
      <w:r w:rsidRPr="00790395">
        <w:rPr>
          <w:b/>
          <w:bCs/>
          <w:sz w:val="24"/>
          <w:szCs w:val="24"/>
          <w:lang w:val="sr-Latn-RS"/>
        </w:rPr>
        <w:t>.</w:t>
      </w:r>
      <w:r w:rsidRPr="00790395">
        <w:rPr>
          <w:sz w:val="24"/>
          <w:szCs w:val="24"/>
          <w:lang w:val="sr-Latn-RS"/>
        </w:rPr>
        <w:t xml:space="preserve"> Javni rashodi Ministarstva prosvete su</w:t>
      </w:r>
      <w:r w:rsidR="004A5708">
        <w:rPr>
          <w:sz w:val="24"/>
          <w:szCs w:val="24"/>
          <w:lang w:val="sr-Latn-RS"/>
        </w:rPr>
        <w:t xml:space="preserve"> se smanjili</w:t>
      </w:r>
      <w:r w:rsidRPr="00790395">
        <w:rPr>
          <w:sz w:val="24"/>
          <w:szCs w:val="24"/>
          <w:lang w:val="sr-Latn-RS"/>
        </w:rPr>
        <w:t xml:space="preserve"> od 2014. godine, a udeo budžeta za ovo Ministarstvo se umanjio sa 4,74% na 4,08% </w:t>
      </w:r>
      <w:r w:rsidR="005B7E1C" w:rsidRPr="00790395">
        <w:rPr>
          <w:sz w:val="24"/>
          <w:szCs w:val="24"/>
          <w:lang w:val="sr-Latn-RS"/>
        </w:rPr>
        <w:t>BDP</w:t>
      </w:r>
      <w:r w:rsidRPr="00790395">
        <w:rPr>
          <w:sz w:val="24"/>
          <w:szCs w:val="24"/>
          <w:lang w:val="sr-Latn-RS"/>
        </w:rPr>
        <w:t>-a u 2020. godini.</w:t>
      </w:r>
      <w:r w:rsidR="00A1533F" w:rsidRPr="00790395">
        <w:rPr>
          <w:sz w:val="24"/>
          <w:szCs w:val="24"/>
          <w:lang w:val="sr-Latn-RS"/>
        </w:rPr>
        <w:t xml:space="preserve"> Kada je reč o podršci učenicima</w:t>
      </w:r>
      <w:r w:rsidR="002C0A38">
        <w:rPr>
          <w:sz w:val="24"/>
          <w:szCs w:val="24"/>
          <w:lang w:val="sr-Latn-RS"/>
        </w:rPr>
        <w:t xml:space="preserve"> i </w:t>
      </w:r>
      <w:r w:rsidR="00A1533F" w:rsidRPr="00790395">
        <w:rPr>
          <w:sz w:val="24"/>
          <w:szCs w:val="24"/>
          <w:lang w:val="sr-Latn-RS"/>
        </w:rPr>
        <w:t>studentima u njihovom obrazovanju, budžetski program „učenički</w:t>
      </w:r>
      <w:r w:rsidR="002C0A38">
        <w:rPr>
          <w:sz w:val="24"/>
          <w:szCs w:val="24"/>
          <w:lang w:val="sr-Latn-RS"/>
        </w:rPr>
        <w:t xml:space="preserve"> i </w:t>
      </w:r>
      <w:r w:rsidR="00A1533F" w:rsidRPr="00790395">
        <w:rPr>
          <w:sz w:val="24"/>
          <w:szCs w:val="24"/>
          <w:lang w:val="sr-Latn-RS"/>
        </w:rPr>
        <w:t>studentski standard“ predviđa sredstva za studentske stipendije, domove, subvencije za ishranu, studentska odmarališta, itd. Sredstva za ove svrhe su se takođe umanjila, sa 0,09% budžeta na 0,06% budžeta za učenike srednjih škola,</w:t>
      </w:r>
      <w:r w:rsidR="002C0A38">
        <w:rPr>
          <w:sz w:val="24"/>
          <w:szCs w:val="24"/>
          <w:lang w:val="sr-Latn-RS"/>
        </w:rPr>
        <w:t xml:space="preserve"> i </w:t>
      </w:r>
      <w:r w:rsidR="00A1533F" w:rsidRPr="00790395">
        <w:rPr>
          <w:sz w:val="24"/>
          <w:szCs w:val="24"/>
          <w:lang w:val="sr-Latn-RS"/>
        </w:rPr>
        <w:t>sa 0,20% budžeta na 0,14% budžeta za univerzitetske studente, neproporcionalno utičući na učenike</w:t>
      </w:r>
      <w:r w:rsidR="002C0A38">
        <w:rPr>
          <w:sz w:val="24"/>
          <w:szCs w:val="24"/>
          <w:lang w:val="sr-Latn-RS"/>
        </w:rPr>
        <w:t xml:space="preserve"> i </w:t>
      </w:r>
      <w:r w:rsidR="00A1533F" w:rsidRPr="00790395">
        <w:rPr>
          <w:sz w:val="24"/>
          <w:szCs w:val="24"/>
          <w:lang w:val="sr-Latn-RS"/>
        </w:rPr>
        <w:t xml:space="preserve">studente </w:t>
      </w:r>
      <w:r w:rsidR="006E73A1" w:rsidRPr="004A5708">
        <w:rPr>
          <w:sz w:val="24"/>
          <w:szCs w:val="24"/>
          <w:lang w:val="sr-Latn-RS"/>
        </w:rPr>
        <w:t>iz porodica sa nižim primanjima.</w:t>
      </w:r>
      <w:r w:rsidR="006E73A1" w:rsidRPr="00790395">
        <w:rPr>
          <w:sz w:val="24"/>
          <w:szCs w:val="24"/>
          <w:lang w:val="sr-Latn-RS"/>
        </w:rPr>
        <w:t xml:space="preserve"> </w:t>
      </w:r>
    </w:p>
    <w:tbl>
      <w:tblPr>
        <w:tblStyle w:val="TableGrid"/>
        <w:tblW w:w="0" w:type="auto"/>
        <w:tblLook w:val="04A0" w:firstRow="1" w:lastRow="0" w:firstColumn="1" w:lastColumn="0" w:noHBand="0" w:noVBand="1"/>
      </w:tblPr>
      <w:tblGrid>
        <w:gridCol w:w="2254"/>
        <w:gridCol w:w="2254"/>
        <w:gridCol w:w="2254"/>
        <w:gridCol w:w="2254"/>
      </w:tblGrid>
      <w:tr w:rsidR="006E73A1" w:rsidRPr="00790395" w14:paraId="473E242C" w14:textId="77777777" w:rsidTr="006E73A1">
        <w:tc>
          <w:tcPr>
            <w:tcW w:w="2254" w:type="dxa"/>
          </w:tcPr>
          <w:p w14:paraId="406969A9" w14:textId="3ED766C4" w:rsidR="006E73A1" w:rsidRPr="00790395" w:rsidRDefault="006E73A1" w:rsidP="006E73A1">
            <w:pPr>
              <w:jc w:val="both"/>
              <w:rPr>
                <w:b/>
                <w:bCs/>
                <w:lang w:val="sr-Latn-RS"/>
              </w:rPr>
            </w:pPr>
            <w:r w:rsidRPr="00790395">
              <w:rPr>
                <w:b/>
                <w:bCs/>
                <w:lang w:val="sr-Latn-RS"/>
              </w:rPr>
              <w:t>% PDV-a</w:t>
            </w:r>
          </w:p>
        </w:tc>
        <w:tc>
          <w:tcPr>
            <w:tcW w:w="2254" w:type="dxa"/>
          </w:tcPr>
          <w:p w14:paraId="19279730" w14:textId="77777777" w:rsidR="006E73A1" w:rsidRPr="00790395" w:rsidRDefault="006E73A1" w:rsidP="006E73A1">
            <w:pPr>
              <w:jc w:val="both"/>
              <w:rPr>
                <w:b/>
                <w:bCs/>
                <w:lang w:val="sr-Latn-RS"/>
              </w:rPr>
            </w:pPr>
            <w:r w:rsidRPr="00790395">
              <w:rPr>
                <w:b/>
                <w:bCs/>
                <w:lang w:val="sr-Latn-RS"/>
              </w:rPr>
              <w:t>Ministarstvo prosvete</w:t>
            </w:r>
          </w:p>
          <w:p w14:paraId="27075D1A" w14:textId="42CDFCC5" w:rsidR="006E73A1" w:rsidRPr="00790395" w:rsidRDefault="006E73A1" w:rsidP="006E73A1">
            <w:pPr>
              <w:jc w:val="both"/>
              <w:rPr>
                <w:b/>
                <w:bCs/>
                <w:lang w:val="sr-Latn-RS"/>
              </w:rPr>
            </w:pPr>
            <w:r w:rsidRPr="00790395">
              <w:rPr>
                <w:b/>
                <w:bCs/>
                <w:lang w:val="sr-Latn-RS"/>
              </w:rPr>
              <w:t>(ukupno)</w:t>
            </w:r>
          </w:p>
        </w:tc>
        <w:tc>
          <w:tcPr>
            <w:tcW w:w="2254" w:type="dxa"/>
          </w:tcPr>
          <w:p w14:paraId="2291C21C" w14:textId="77777777" w:rsidR="006E73A1" w:rsidRPr="00790395" w:rsidRDefault="006E73A1" w:rsidP="006E73A1">
            <w:pPr>
              <w:jc w:val="both"/>
              <w:rPr>
                <w:b/>
                <w:bCs/>
                <w:lang w:val="sr-Latn-RS"/>
              </w:rPr>
            </w:pPr>
            <w:r w:rsidRPr="00790395">
              <w:rPr>
                <w:b/>
                <w:bCs/>
                <w:lang w:val="sr-Latn-RS"/>
              </w:rPr>
              <w:t>Učenički standard</w:t>
            </w:r>
          </w:p>
          <w:p w14:paraId="608B66B7" w14:textId="4F70AFBC" w:rsidR="006E73A1" w:rsidRPr="00790395" w:rsidRDefault="006E73A1" w:rsidP="006E73A1">
            <w:pPr>
              <w:jc w:val="both"/>
              <w:rPr>
                <w:b/>
                <w:bCs/>
                <w:lang w:val="sr-Latn-RS"/>
              </w:rPr>
            </w:pPr>
          </w:p>
        </w:tc>
        <w:tc>
          <w:tcPr>
            <w:tcW w:w="2254" w:type="dxa"/>
          </w:tcPr>
          <w:p w14:paraId="3BE2EA0D" w14:textId="77777777" w:rsidR="006E73A1" w:rsidRPr="00790395" w:rsidRDefault="0025376D" w:rsidP="006E73A1">
            <w:pPr>
              <w:jc w:val="both"/>
              <w:rPr>
                <w:b/>
                <w:bCs/>
                <w:lang w:val="sr-Latn-RS"/>
              </w:rPr>
            </w:pPr>
            <w:r w:rsidRPr="00790395">
              <w:rPr>
                <w:b/>
                <w:bCs/>
                <w:lang w:val="sr-Latn-RS"/>
              </w:rPr>
              <w:t>Studentski standard</w:t>
            </w:r>
          </w:p>
          <w:p w14:paraId="5EF06421" w14:textId="31129817" w:rsidR="0025376D" w:rsidRPr="00790395" w:rsidRDefault="0025376D" w:rsidP="006E73A1">
            <w:pPr>
              <w:jc w:val="both"/>
              <w:rPr>
                <w:b/>
                <w:bCs/>
                <w:lang w:val="sr-Latn-RS"/>
              </w:rPr>
            </w:pPr>
          </w:p>
        </w:tc>
      </w:tr>
      <w:tr w:rsidR="006E73A1" w:rsidRPr="00790395" w14:paraId="4E825BD9" w14:textId="77777777" w:rsidTr="006E73A1">
        <w:tc>
          <w:tcPr>
            <w:tcW w:w="2254" w:type="dxa"/>
          </w:tcPr>
          <w:p w14:paraId="35FE9230" w14:textId="0F8C42F0" w:rsidR="006E73A1" w:rsidRPr="00790395" w:rsidRDefault="0025376D" w:rsidP="006E73A1">
            <w:pPr>
              <w:jc w:val="both"/>
              <w:rPr>
                <w:b/>
                <w:bCs/>
                <w:lang w:val="sr-Latn-RS"/>
              </w:rPr>
            </w:pPr>
            <w:r w:rsidRPr="00790395">
              <w:rPr>
                <w:b/>
                <w:bCs/>
                <w:lang w:val="sr-Latn-RS"/>
              </w:rPr>
              <w:t>2013</w:t>
            </w:r>
          </w:p>
        </w:tc>
        <w:tc>
          <w:tcPr>
            <w:tcW w:w="2254" w:type="dxa"/>
          </w:tcPr>
          <w:p w14:paraId="023B0BFD" w14:textId="23B19E4E" w:rsidR="006E73A1" w:rsidRPr="00790395" w:rsidRDefault="0025376D" w:rsidP="006E73A1">
            <w:pPr>
              <w:jc w:val="both"/>
              <w:rPr>
                <w:b/>
                <w:bCs/>
                <w:lang w:val="sr-Latn-RS"/>
              </w:rPr>
            </w:pPr>
            <w:r w:rsidRPr="00790395">
              <w:rPr>
                <w:b/>
                <w:bCs/>
                <w:lang w:val="sr-Latn-RS"/>
              </w:rPr>
              <w:t>4,74%</w:t>
            </w:r>
          </w:p>
        </w:tc>
        <w:tc>
          <w:tcPr>
            <w:tcW w:w="2254" w:type="dxa"/>
          </w:tcPr>
          <w:p w14:paraId="2E47A681" w14:textId="1BBE8D67" w:rsidR="006E73A1" w:rsidRPr="00790395" w:rsidRDefault="0025376D" w:rsidP="006E73A1">
            <w:pPr>
              <w:jc w:val="both"/>
              <w:rPr>
                <w:b/>
                <w:bCs/>
                <w:lang w:val="sr-Latn-RS"/>
              </w:rPr>
            </w:pPr>
            <w:r w:rsidRPr="00790395">
              <w:rPr>
                <w:b/>
                <w:bCs/>
                <w:lang w:val="sr-Latn-RS"/>
              </w:rPr>
              <w:t>0,09%</w:t>
            </w:r>
          </w:p>
        </w:tc>
        <w:tc>
          <w:tcPr>
            <w:tcW w:w="2254" w:type="dxa"/>
          </w:tcPr>
          <w:p w14:paraId="0DCB622F" w14:textId="18B2C9DF" w:rsidR="006E73A1" w:rsidRPr="00790395" w:rsidRDefault="0025376D" w:rsidP="006E73A1">
            <w:pPr>
              <w:jc w:val="both"/>
              <w:rPr>
                <w:b/>
                <w:bCs/>
                <w:lang w:val="sr-Latn-RS"/>
              </w:rPr>
            </w:pPr>
            <w:r w:rsidRPr="00790395">
              <w:rPr>
                <w:b/>
                <w:bCs/>
                <w:lang w:val="sr-Latn-RS"/>
              </w:rPr>
              <w:t>0,20%</w:t>
            </w:r>
          </w:p>
        </w:tc>
      </w:tr>
      <w:tr w:rsidR="006E73A1" w:rsidRPr="00790395" w14:paraId="21C24530" w14:textId="77777777" w:rsidTr="006E73A1">
        <w:tc>
          <w:tcPr>
            <w:tcW w:w="2254" w:type="dxa"/>
          </w:tcPr>
          <w:p w14:paraId="7A0A6533" w14:textId="7B28CD30" w:rsidR="006E73A1" w:rsidRPr="00790395" w:rsidRDefault="0025376D" w:rsidP="006E73A1">
            <w:pPr>
              <w:jc w:val="both"/>
              <w:rPr>
                <w:b/>
                <w:bCs/>
                <w:lang w:val="sr-Latn-RS"/>
              </w:rPr>
            </w:pPr>
            <w:r w:rsidRPr="00790395">
              <w:rPr>
                <w:b/>
                <w:bCs/>
                <w:lang w:val="sr-Latn-RS"/>
              </w:rPr>
              <w:t>2014</w:t>
            </w:r>
          </w:p>
        </w:tc>
        <w:tc>
          <w:tcPr>
            <w:tcW w:w="2254" w:type="dxa"/>
          </w:tcPr>
          <w:p w14:paraId="7BD95FC4" w14:textId="28E4CAED" w:rsidR="006E73A1" w:rsidRPr="00790395" w:rsidRDefault="0025376D" w:rsidP="006E73A1">
            <w:pPr>
              <w:jc w:val="both"/>
              <w:rPr>
                <w:b/>
                <w:bCs/>
                <w:lang w:val="sr-Latn-RS"/>
              </w:rPr>
            </w:pPr>
            <w:r w:rsidRPr="00790395">
              <w:rPr>
                <w:b/>
                <w:bCs/>
                <w:lang w:val="sr-Latn-RS"/>
              </w:rPr>
              <w:t>4,69%</w:t>
            </w:r>
          </w:p>
        </w:tc>
        <w:tc>
          <w:tcPr>
            <w:tcW w:w="2254" w:type="dxa"/>
          </w:tcPr>
          <w:p w14:paraId="5D3BE759" w14:textId="342DE33A" w:rsidR="006E73A1" w:rsidRPr="00790395" w:rsidRDefault="0025376D" w:rsidP="006E73A1">
            <w:pPr>
              <w:jc w:val="both"/>
              <w:rPr>
                <w:b/>
                <w:bCs/>
                <w:lang w:val="sr-Latn-RS"/>
              </w:rPr>
            </w:pPr>
            <w:r w:rsidRPr="00790395">
              <w:rPr>
                <w:b/>
                <w:bCs/>
                <w:lang w:val="sr-Latn-RS"/>
              </w:rPr>
              <w:t>0,10%</w:t>
            </w:r>
          </w:p>
        </w:tc>
        <w:tc>
          <w:tcPr>
            <w:tcW w:w="2254" w:type="dxa"/>
          </w:tcPr>
          <w:p w14:paraId="5E2738FE" w14:textId="526B504E" w:rsidR="006E73A1" w:rsidRPr="00790395" w:rsidRDefault="0025376D" w:rsidP="006E73A1">
            <w:pPr>
              <w:jc w:val="both"/>
              <w:rPr>
                <w:b/>
                <w:bCs/>
                <w:lang w:val="sr-Latn-RS"/>
              </w:rPr>
            </w:pPr>
            <w:r w:rsidRPr="00790395">
              <w:rPr>
                <w:b/>
                <w:bCs/>
                <w:lang w:val="sr-Latn-RS"/>
              </w:rPr>
              <w:t>0,20%</w:t>
            </w:r>
          </w:p>
        </w:tc>
      </w:tr>
      <w:tr w:rsidR="006E73A1" w:rsidRPr="00790395" w14:paraId="2BD72D05" w14:textId="77777777" w:rsidTr="006E73A1">
        <w:tc>
          <w:tcPr>
            <w:tcW w:w="2254" w:type="dxa"/>
          </w:tcPr>
          <w:p w14:paraId="34E4FEE8" w14:textId="5F6544CB" w:rsidR="006E73A1" w:rsidRPr="00790395" w:rsidRDefault="0025376D" w:rsidP="006E73A1">
            <w:pPr>
              <w:jc w:val="both"/>
              <w:rPr>
                <w:b/>
                <w:bCs/>
                <w:lang w:val="sr-Latn-RS"/>
              </w:rPr>
            </w:pPr>
            <w:r w:rsidRPr="00790395">
              <w:rPr>
                <w:b/>
                <w:bCs/>
                <w:lang w:val="sr-Latn-RS"/>
              </w:rPr>
              <w:t>2015</w:t>
            </w:r>
          </w:p>
        </w:tc>
        <w:tc>
          <w:tcPr>
            <w:tcW w:w="2254" w:type="dxa"/>
          </w:tcPr>
          <w:p w14:paraId="5013D429" w14:textId="06A2B8FE" w:rsidR="006E73A1" w:rsidRPr="00790395" w:rsidRDefault="0025376D" w:rsidP="006E73A1">
            <w:pPr>
              <w:jc w:val="both"/>
              <w:rPr>
                <w:b/>
                <w:bCs/>
                <w:lang w:val="sr-Latn-RS"/>
              </w:rPr>
            </w:pPr>
            <w:r w:rsidRPr="00790395">
              <w:rPr>
                <w:b/>
                <w:bCs/>
                <w:lang w:val="sr-Latn-RS"/>
              </w:rPr>
              <w:t>4,33%</w:t>
            </w:r>
          </w:p>
        </w:tc>
        <w:tc>
          <w:tcPr>
            <w:tcW w:w="2254" w:type="dxa"/>
          </w:tcPr>
          <w:p w14:paraId="23BF067B" w14:textId="14BD4828" w:rsidR="006E73A1" w:rsidRPr="00790395" w:rsidRDefault="0025376D" w:rsidP="006E73A1">
            <w:pPr>
              <w:jc w:val="both"/>
              <w:rPr>
                <w:b/>
                <w:bCs/>
                <w:lang w:val="sr-Latn-RS"/>
              </w:rPr>
            </w:pPr>
            <w:r w:rsidRPr="00790395">
              <w:rPr>
                <w:b/>
                <w:bCs/>
                <w:lang w:val="sr-Latn-RS"/>
              </w:rPr>
              <w:t>0,09%</w:t>
            </w:r>
          </w:p>
        </w:tc>
        <w:tc>
          <w:tcPr>
            <w:tcW w:w="2254" w:type="dxa"/>
          </w:tcPr>
          <w:p w14:paraId="72687180" w14:textId="77571C6D" w:rsidR="006E73A1" w:rsidRPr="00790395" w:rsidRDefault="0025376D" w:rsidP="006E73A1">
            <w:pPr>
              <w:jc w:val="both"/>
              <w:rPr>
                <w:b/>
                <w:bCs/>
                <w:lang w:val="sr-Latn-RS"/>
              </w:rPr>
            </w:pPr>
            <w:r w:rsidRPr="00790395">
              <w:rPr>
                <w:b/>
                <w:bCs/>
                <w:lang w:val="sr-Latn-RS"/>
              </w:rPr>
              <w:t>0,</w:t>
            </w:r>
            <w:r w:rsidR="005B7E1C" w:rsidRPr="00790395">
              <w:rPr>
                <w:b/>
                <w:bCs/>
                <w:lang w:val="sr-Latn-RS"/>
              </w:rPr>
              <w:t>19%</w:t>
            </w:r>
          </w:p>
        </w:tc>
      </w:tr>
      <w:tr w:rsidR="006E73A1" w:rsidRPr="00790395" w14:paraId="40B0DC22" w14:textId="77777777" w:rsidTr="006E73A1">
        <w:tc>
          <w:tcPr>
            <w:tcW w:w="2254" w:type="dxa"/>
          </w:tcPr>
          <w:p w14:paraId="78E6D37B" w14:textId="5E4EE585" w:rsidR="006E73A1" w:rsidRPr="00790395" w:rsidRDefault="0025376D" w:rsidP="006E73A1">
            <w:pPr>
              <w:jc w:val="both"/>
              <w:rPr>
                <w:b/>
                <w:bCs/>
                <w:lang w:val="sr-Latn-RS"/>
              </w:rPr>
            </w:pPr>
            <w:r w:rsidRPr="00790395">
              <w:rPr>
                <w:b/>
                <w:bCs/>
                <w:lang w:val="sr-Latn-RS"/>
              </w:rPr>
              <w:t>2016</w:t>
            </w:r>
          </w:p>
        </w:tc>
        <w:tc>
          <w:tcPr>
            <w:tcW w:w="2254" w:type="dxa"/>
          </w:tcPr>
          <w:p w14:paraId="4A4C1E81" w14:textId="06D9A31D" w:rsidR="006E73A1" w:rsidRPr="00790395" w:rsidRDefault="0025376D" w:rsidP="006E73A1">
            <w:pPr>
              <w:jc w:val="both"/>
              <w:rPr>
                <w:b/>
                <w:bCs/>
                <w:lang w:val="sr-Latn-RS"/>
              </w:rPr>
            </w:pPr>
            <w:r w:rsidRPr="00790395">
              <w:rPr>
                <w:b/>
                <w:bCs/>
                <w:lang w:val="sr-Latn-RS"/>
              </w:rPr>
              <w:t>4,17%</w:t>
            </w:r>
          </w:p>
        </w:tc>
        <w:tc>
          <w:tcPr>
            <w:tcW w:w="2254" w:type="dxa"/>
          </w:tcPr>
          <w:p w14:paraId="653B086A" w14:textId="3843F507" w:rsidR="006E73A1" w:rsidRPr="00790395" w:rsidRDefault="0025376D" w:rsidP="006E73A1">
            <w:pPr>
              <w:jc w:val="both"/>
              <w:rPr>
                <w:b/>
                <w:bCs/>
                <w:lang w:val="sr-Latn-RS"/>
              </w:rPr>
            </w:pPr>
            <w:r w:rsidRPr="00790395">
              <w:rPr>
                <w:b/>
                <w:bCs/>
                <w:lang w:val="sr-Latn-RS"/>
              </w:rPr>
              <w:t>0,09%</w:t>
            </w:r>
          </w:p>
        </w:tc>
        <w:tc>
          <w:tcPr>
            <w:tcW w:w="2254" w:type="dxa"/>
          </w:tcPr>
          <w:p w14:paraId="24BEA446" w14:textId="01C2062E" w:rsidR="006E73A1" w:rsidRPr="00790395" w:rsidRDefault="005B7E1C" w:rsidP="006E73A1">
            <w:pPr>
              <w:jc w:val="both"/>
              <w:rPr>
                <w:b/>
                <w:bCs/>
                <w:lang w:val="sr-Latn-RS"/>
              </w:rPr>
            </w:pPr>
            <w:r w:rsidRPr="00790395">
              <w:rPr>
                <w:b/>
                <w:bCs/>
                <w:lang w:val="sr-Latn-RS"/>
              </w:rPr>
              <w:t>0,18%</w:t>
            </w:r>
          </w:p>
        </w:tc>
      </w:tr>
      <w:tr w:rsidR="006E73A1" w:rsidRPr="00790395" w14:paraId="7B21A4C7" w14:textId="77777777" w:rsidTr="006E73A1">
        <w:tc>
          <w:tcPr>
            <w:tcW w:w="2254" w:type="dxa"/>
          </w:tcPr>
          <w:p w14:paraId="5BF9E1DC" w14:textId="2F8920CB" w:rsidR="006E73A1" w:rsidRPr="00790395" w:rsidRDefault="0025376D" w:rsidP="006E73A1">
            <w:pPr>
              <w:jc w:val="both"/>
              <w:rPr>
                <w:b/>
                <w:bCs/>
                <w:lang w:val="sr-Latn-RS"/>
              </w:rPr>
            </w:pPr>
            <w:r w:rsidRPr="00790395">
              <w:rPr>
                <w:b/>
                <w:bCs/>
                <w:lang w:val="sr-Latn-RS"/>
              </w:rPr>
              <w:t>2017</w:t>
            </w:r>
          </w:p>
        </w:tc>
        <w:tc>
          <w:tcPr>
            <w:tcW w:w="2254" w:type="dxa"/>
          </w:tcPr>
          <w:p w14:paraId="1C5AA923" w14:textId="23EA6703" w:rsidR="006E73A1" w:rsidRPr="00790395" w:rsidRDefault="0025376D" w:rsidP="006E73A1">
            <w:pPr>
              <w:jc w:val="both"/>
              <w:rPr>
                <w:b/>
                <w:bCs/>
                <w:lang w:val="sr-Latn-RS"/>
              </w:rPr>
            </w:pPr>
            <w:r w:rsidRPr="00790395">
              <w:rPr>
                <w:b/>
                <w:bCs/>
                <w:lang w:val="sr-Latn-RS"/>
              </w:rPr>
              <w:t>4,11%</w:t>
            </w:r>
          </w:p>
        </w:tc>
        <w:tc>
          <w:tcPr>
            <w:tcW w:w="2254" w:type="dxa"/>
          </w:tcPr>
          <w:p w14:paraId="5D1772FD" w14:textId="6C921DAC" w:rsidR="006E73A1" w:rsidRPr="00790395" w:rsidRDefault="0025376D" w:rsidP="006E73A1">
            <w:pPr>
              <w:jc w:val="both"/>
              <w:rPr>
                <w:b/>
                <w:bCs/>
                <w:lang w:val="sr-Latn-RS"/>
              </w:rPr>
            </w:pPr>
            <w:r w:rsidRPr="00790395">
              <w:rPr>
                <w:b/>
                <w:bCs/>
                <w:lang w:val="sr-Latn-RS"/>
              </w:rPr>
              <w:t>0,09%</w:t>
            </w:r>
          </w:p>
        </w:tc>
        <w:tc>
          <w:tcPr>
            <w:tcW w:w="2254" w:type="dxa"/>
          </w:tcPr>
          <w:p w14:paraId="67A3347E" w14:textId="6B1CBAEC" w:rsidR="006E73A1" w:rsidRPr="00790395" w:rsidRDefault="005B7E1C" w:rsidP="006E73A1">
            <w:pPr>
              <w:jc w:val="both"/>
              <w:rPr>
                <w:b/>
                <w:bCs/>
                <w:lang w:val="sr-Latn-RS"/>
              </w:rPr>
            </w:pPr>
            <w:r w:rsidRPr="00790395">
              <w:rPr>
                <w:b/>
                <w:bCs/>
                <w:lang w:val="sr-Latn-RS"/>
              </w:rPr>
              <w:t>0,17%</w:t>
            </w:r>
          </w:p>
        </w:tc>
      </w:tr>
      <w:tr w:rsidR="006E73A1" w:rsidRPr="00790395" w14:paraId="6D465E19" w14:textId="77777777" w:rsidTr="006E73A1">
        <w:tc>
          <w:tcPr>
            <w:tcW w:w="2254" w:type="dxa"/>
          </w:tcPr>
          <w:p w14:paraId="54BB72C8" w14:textId="35107198" w:rsidR="006E73A1" w:rsidRPr="00790395" w:rsidRDefault="0025376D" w:rsidP="006E73A1">
            <w:pPr>
              <w:jc w:val="both"/>
              <w:rPr>
                <w:b/>
                <w:bCs/>
                <w:lang w:val="sr-Latn-RS"/>
              </w:rPr>
            </w:pPr>
            <w:r w:rsidRPr="00790395">
              <w:rPr>
                <w:b/>
                <w:bCs/>
                <w:lang w:val="sr-Latn-RS"/>
              </w:rPr>
              <w:t>2018</w:t>
            </w:r>
          </w:p>
        </w:tc>
        <w:tc>
          <w:tcPr>
            <w:tcW w:w="2254" w:type="dxa"/>
          </w:tcPr>
          <w:p w14:paraId="362F52AD" w14:textId="4FD91D99" w:rsidR="006E73A1" w:rsidRPr="00790395" w:rsidRDefault="0025376D" w:rsidP="006E73A1">
            <w:pPr>
              <w:jc w:val="both"/>
              <w:rPr>
                <w:b/>
                <w:bCs/>
                <w:lang w:val="sr-Latn-RS"/>
              </w:rPr>
            </w:pPr>
            <w:r w:rsidRPr="00790395">
              <w:rPr>
                <w:b/>
                <w:bCs/>
                <w:lang w:val="sr-Latn-RS"/>
              </w:rPr>
              <w:t>4,20%</w:t>
            </w:r>
          </w:p>
        </w:tc>
        <w:tc>
          <w:tcPr>
            <w:tcW w:w="2254" w:type="dxa"/>
          </w:tcPr>
          <w:p w14:paraId="50837F87" w14:textId="10AF1CC1" w:rsidR="006E73A1" w:rsidRPr="00790395" w:rsidRDefault="0025376D" w:rsidP="006E73A1">
            <w:pPr>
              <w:jc w:val="both"/>
              <w:rPr>
                <w:b/>
                <w:bCs/>
                <w:lang w:val="sr-Latn-RS"/>
              </w:rPr>
            </w:pPr>
            <w:r w:rsidRPr="00790395">
              <w:rPr>
                <w:b/>
                <w:bCs/>
                <w:lang w:val="sr-Latn-RS"/>
              </w:rPr>
              <w:t>0,08%</w:t>
            </w:r>
          </w:p>
        </w:tc>
        <w:tc>
          <w:tcPr>
            <w:tcW w:w="2254" w:type="dxa"/>
          </w:tcPr>
          <w:p w14:paraId="5FC03F39" w14:textId="711FD61B" w:rsidR="006E73A1" w:rsidRPr="00790395" w:rsidRDefault="005B7E1C" w:rsidP="006E73A1">
            <w:pPr>
              <w:jc w:val="both"/>
              <w:rPr>
                <w:b/>
                <w:bCs/>
                <w:lang w:val="sr-Latn-RS"/>
              </w:rPr>
            </w:pPr>
            <w:r w:rsidRPr="00790395">
              <w:rPr>
                <w:b/>
                <w:bCs/>
                <w:lang w:val="sr-Latn-RS"/>
              </w:rPr>
              <w:t>0,16%</w:t>
            </w:r>
          </w:p>
        </w:tc>
      </w:tr>
      <w:tr w:rsidR="006E73A1" w:rsidRPr="00790395" w14:paraId="74A7FCA7" w14:textId="77777777" w:rsidTr="006E73A1">
        <w:tc>
          <w:tcPr>
            <w:tcW w:w="2254" w:type="dxa"/>
          </w:tcPr>
          <w:p w14:paraId="3F94D09B" w14:textId="4BB3E458" w:rsidR="006E73A1" w:rsidRPr="00790395" w:rsidRDefault="0025376D" w:rsidP="006E73A1">
            <w:pPr>
              <w:jc w:val="both"/>
              <w:rPr>
                <w:b/>
                <w:bCs/>
                <w:lang w:val="sr-Latn-RS"/>
              </w:rPr>
            </w:pPr>
            <w:r w:rsidRPr="00790395">
              <w:rPr>
                <w:b/>
                <w:bCs/>
                <w:lang w:val="sr-Latn-RS"/>
              </w:rPr>
              <w:t>2019</w:t>
            </w:r>
          </w:p>
        </w:tc>
        <w:tc>
          <w:tcPr>
            <w:tcW w:w="2254" w:type="dxa"/>
          </w:tcPr>
          <w:p w14:paraId="4B1396F6" w14:textId="14C5B467" w:rsidR="006E73A1" w:rsidRPr="00790395" w:rsidRDefault="0025376D" w:rsidP="006E73A1">
            <w:pPr>
              <w:jc w:val="both"/>
              <w:rPr>
                <w:b/>
                <w:bCs/>
                <w:lang w:val="sr-Latn-RS"/>
              </w:rPr>
            </w:pPr>
            <w:r w:rsidRPr="00790395">
              <w:rPr>
                <w:b/>
                <w:bCs/>
                <w:lang w:val="sr-Latn-RS"/>
              </w:rPr>
              <w:t>4,11%</w:t>
            </w:r>
          </w:p>
        </w:tc>
        <w:tc>
          <w:tcPr>
            <w:tcW w:w="2254" w:type="dxa"/>
          </w:tcPr>
          <w:p w14:paraId="49932E3D" w14:textId="659C7E50" w:rsidR="006E73A1" w:rsidRPr="00790395" w:rsidRDefault="0025376D" w:rsidP="006E73A1">
            <w:pPr>
              <w:jc w:val="both"/>
              <w:rPr>
                <w:b/>
                <w:bCs/>
                <w:lang w:val="sr-Latn-RS"/>
              </w:rPr>
            </w:pPr>
            <w:r w:rsidRPr="00790395">
              <w:rPr>
                <w:b/>
                <w:bCs/>
                <w:lang w:val="sr-Latn-RS"/>
              </w:rPr>
              <w:t>0,08%</w:t>
            </w:r>
          </w:p>
        </w:tc>
        <w:tc>
          <w:tcPr>
            <w:tcW w:w="2254" w:type="dxa"/>
          </w:tcPr>
          <w:p w14:paraId="2E61AFF4" w14:textId="5C0B0222" w:rsidR="006E73A1" w:rsidRPr="00790395" w:rsidRDefault="005B7E1C" w:rsidP="006E73A1">
            <w:pPr>
              <w:jc w:val="both"/>
              <w:rPr>
                <w:b/>
                <w:bCs/>
                <w:lang w:val="sr-Latn-RS"/>
              </w:rPr>
            </w:pPr>
            <w:r w:rsidRPr="00790395">
              <w:rPr>
                <w:b/>
                <w:bCs/>
                <w:lang w:val="sr-Latn-RS"/>
              </w:rPr>
              <w:t>0,16%</w:t>
            </w:r>
          </w:p>
        </w:tc>
      </w:tr>
      <w:tr w:rsidR="006E73A1" w:rsidRPr="00790395" w14:paraId="01E1DC97" w14:textId="77777777" w:rsidTr="006E73A1">
        <w:tc>
          <w:tcPr>
            <w:tcW w:w="2254" w:type="dxa"/>
          </w:tcPr>
          <w:p w14:paraId="14CFCE00" w14:textId="76BE6502" w:rsidR="006E73A1" w:rsidRPr="00790395" w:rsidRDefault="0025376D" w:rsidP="006E73A1">
            <w:pPr>
              <w:jc w:val="both"/>
              <w:rPr>
                <w:b/>
                <w:bCs/>
                <w:lang w:val="sr-Latn-RS"/>
              </w:rPr>
            </w:pPr>
            <w:r w:rsidRPr="00790395">
              <w:rPr>
                <w:b/>
                <w:bCs/>
                <w:lang w:val="sr-Latn-RS"/>
              </w:rPr>
              <w:t>2020</w:t>
            </w:r>
          </w:p>
        </w:tc>
        <w:tc>
          <w:tcPr>
            <w:tcW w:w="2254" w:type="dxa"/>
          </w:tcPr>
          <w:p w14:paraId="031E9F22" w14:textId="4836CC7A" w:rsidR="006E73A1" w:rsidRPr="00790395" w:rsidRDefault="0025376D" w:rsidP="006E73A1">
            <w:pPr>
              <w:jc w:val="both"/>
              <w:rPr>
                <w:b/>
                <w:bCs/>
                <w:lang w:val="sr-Latn-RS"/>
              </w:rPr>
            </w:pPr>
            <w:r w:rsidRPr="00790395">
              <w:rPr>
                <w:b/>
                <w:bCs/>
                <w:lang w:val="sr-Latn-RS"/>
              </w:rPr>
              <w:t>4,08%</w:t>
            </w:r>
          </w:p>
        </w:tc>
        <w:tc>
          <w:tcPr>
            <w:tcW w:w="2254" w:type="dxa"/>
          </w:tcPr>
          <w:p w14:paraId="48CB999E" w14:textId="672292D9" w:rsidR="006E73A1" w:rsidRPr="00790395" w:rsidRDefault="0025376D" w:rsidP="006E73A1">
            <w:pPr>
              <w:jc w:val="both"/>
              <w:rPr>
                <w:b/>
                <w:bCs/>
                <w:lang w:val="sr-Latn-RS"/>
              </w:rPr>
            </w:pPr>
            <w:r w:rsidRPr="00790395">
              <w:rPr>
                <w:b/>
                <w:bCs/>
                <w:lang w:val="sr-Latn-RS"/>
              </w:rPr>
              <w:t>0,06%</w:t>
            </w:r>
          </w:p>
        </w:tc>
        <w:tc>
          <w:tcPr>
            <w:tcW w:w="2254" w:type="dxa"/>
          </w:tcPr>
          <w:p w14:paraId="45D11A11" w14:textId="15494CF5" w:rsidR="006E73A1" w:rsidRPr="00790395" w:rsidRDefault="005B7E1C" w:rsidP="006E73A1">
            <w:pPr>
              <w:jc w:val="both"/>
              <w:rPr>
                <w:b/>
                <w:bCs/>
                <w:lang w:val="sr-Latn-RS"/>
              </w:rPr>
            </w:pPr>
            <w:r w:rsidRPr="00790395">
              <w:rPr>
                <w:b/>
                <w:bCs/>
                <w:lang w:val="sr-Latn-RS"/>
              </w:rPr>
              <w:t>0,14%</w:t>
            </w:r>
          </w:p>
        </w:tc>
      </w:tr>
    </w:tbl>
    <w:p w14:paraId="44CB707C" w14:textId="4B248B35" w:rsidR="009B3885" w:rsidRPr="006A681B" w:rsidRDefault="005B7E1C" w:rsidP="006A681B">
      <w:pPr>
        <w:pStyle w:val="NoSpacing"/>
        <w:rPr>
          <w:sz w:val="24"/>
          <w:szCs w:val="24"/>
          <w:lang w:val="sr-Latn-RS"/>
        </w:rPr>
      </w:pPr>
      <w:r w:rsidRPr="006A681B">
        <w:rPr>
          <w:b/>
          <w:bCs/>
          <w:sz w:val="24"/>
          <w:szCs w:val="24"/>
          <w:lang w:val="sr-Latn-RS"/>
        </w:rPr>
        <w:t>Tabela</w:t>
      </w:r>
      <w:r w:rsidR="008C0DA0" w:rsidRPr="006A681B">
        <w:rPr>
          <w:b/>
          <w:bCs/>
          <w:sz w:val="24"/>
          <w:szCs w:val="24"/>
          <w:lang w:val="sr-Latn-RS"/>
        </w:rPr>
        <w:t xml:space="preserve"> 3:</w:t>
      </w:r>
      <w:r w:rsidR="008C0DA0" w:rsidRPr="006A681B">
        <w:rPr>
          <w:sz w:val="24"/>
          <w:szCs w:val="24"/>
          <w:lang w:val="sr-Latn-RS"/>
        </w:rPr>
        <w:t xml:space="preserve"> % </w:t>
      </w:r>
      <w:r w:rsidRPr="006A681B">
        <w:rPr>
          <w:sz w:val="24"/>
          <w:szCs w:val="24"/>
          <w:lang w:val="sr-Latn-RS"/>
        </w:rPr>
        <w:t>BD</w:t>
      </w:r>
      <w:r w:rsidR="006A681B">
        <w:rPr>
          <w:sz w:val="24"/>
          <w:szCs w:val="24"/>
          <w:lang w:val="sr-Latn-RS"/>
        </w:rPr>
        <w:t>P</w:t>
      </w:r>
      <w:r w:rsidRPr="006A681B">
        <w:rPr>
          <w:sz w:val="24"/>
          <w:szCs w:val="24"/>
          <w:lang w:val="sr-Latn-RS"/>
        </w:rPr>
        <w:t>-a potrošen na obrazovanje</w:t>
      </w:r>
      <w:r w:rsidR="002C0A38" w:rsidRPr="006A681B">
        <w:rPr>
          <w:sz w:val="24"/>
          <w:szCs w:val="24"/>
          <w:lang w:val="sr-Latn-RS"/>
        </w:rPr>
        <w:t xml:space="preserve"> i </w:t>
      </w:r>
      <w:r w:rsidRPr="006A681B">
        <w:rPr>
          <w:sz w:val="24"/>
          <w:szCs w:val="24"/>
          <w:lang w:val="sr-Latn-RS"/>
        </w:rPr>
        <w:t>učenički</w:t>
      </w:r>
      <w:r w:rsidR="002C0A38" w:rsidRPr="006A681B">
        <w:rPr>
          <w:sz w:val="24"/>
          <w:szCs w:val="24"/>
          <w:lang w:val="sr-Latn-RS"/>
        </w:rPr>
        <w:t xml:space="preserve"> i </w:t>
      </w:r>
      <w:r w:rsidRPr="006A681B">
        <w:rPr>
          <w:sz w:val="24"/>
          <w:szCs w:val="24"/>
          <w:lang w:val="sr-Latn-RS"/>
        </w:rPr>
        <w:t>studentski standard, 2013-2020. godina</w:t>
      </w:r>
    </w:p>
    <w:p w14:paraId="2559FFDC" w14:textId="548D8AD7" w:rsidR="005B7E1C" w:rsidRPr="00790395" w:rsidRDefault="005B7E1C" w:rsidP="00D06744">
      <w:pPr>
        <w:numPr>
          <w:ilvl w:val="0"/>
          <w:numId w:val="3"/>
        </w:numPr>
        <w:pBdr>
          <w:top w:val="nil"/>
          <w:left w:val="nil"/>
          <w:bottom w:val="nil"/>
          <w:right w:val="nil"/>
          <w:between w:val="nil"/>
        </w:pBdr>
        <w:spacing w:before="100" w:beforeAutospacing="1" w:after="100" w:afterAutospacing="1" w:line="240" w:lineRule="auto"/>
        <w:ind w:left="0" w:firstLine="0"/>
        <w:jc w:val="both"/>
        <w:rPr>
          <w:b/>
          <w:bCs/>
          <w:sz w:val="24"/>
          <w:szCs w:val="24"/>
          <w:lang w:val="sr-Latn-RS"/>
        </w:rPr>
      </w:pPr>
      <w:r w:rsidRPr="00790395">
        <w:rPr>
          <w:b/>
          <w:bCs/>
          <w:sz w:val="24"/>
          <w:szCs w:val="24"/>
          <w:lang w:val="sr-Latn-RS"/>
        </w:rPr>
        <w:t xml:space="preserve">Postoje </w:t>
      </w:r>
      <w:r w:rsidR="00352A1C">
        <w:rPr>
          <w:b/>
          <w:bCs/>
          <w:sz w:val="24"/>
          <w:szCs w:val="24"/>
          <w:lang w:val="sr-Latn-RS"/>
        </w:rPr>
        <w:t>znaci upozorenja da je došlo do</w:t>
      </w:r>
      <w:r w:rsidRPr="00790395">
        <w:rPr>
          <w:b/>
          <w:bCs/>
          <w:sz w:val="24"/>
          <w:szCs w:val="24"/>
          <w:lang w:val="sr-Latn-RS"/>
        </w:rPr>
        <w:t xml:space="preserve"> regresije u javnom trošenju na pravo na zdravlje. Kapitalna ulaganja u zdravstveni sektor decenijama su bila mnogo niža nego u drugim zemljama Centralne</w:t>
      </w:r>
      <w:r w:rsidR="002C0A38">
        <w:rPr>
          <w:b/>
          <w:bCs/>
          <w:sz w:val="24"/>
          <w:szCs w:val="24"/>
          <w:lang w:val="sr-Latn-RS"/>
        </w:rPr>
        <w:t xml:space="preserve"> i </w:t>
      </w:r>
      <w:r w:rsidRPr="00790395">
        <w:rPr>
          <w:b/>
          <w:bCs/>
          <w:sz w:val="24"/>
          <w:szCs w:val="24"/>
          <w:lang w:val="sr-Latn-RS"/>
        </w:rPr>
        <w:t xml:space="preserve">Istočne Evrope, a javni zdravstveni sistem Srbije zaostaje za uporedivim zemljama. </w:t>
      </w:r>
      <w:r w:rsidRPr="00790395">
        <w:rPr>
          <w:sz w:val="24"/>
          <w:szCs w:val="24"/>
          <w:lang w:val="sr-Latn-RS"/>
        </w:rPr>
        <w:t xml:space="preserve">Prema analizi Fiskalnog saveta iz 2018. godine, Srbija bi morala da ulaže </w:t>
      </w:r>
      <w:r w:rsidR="00EE24DB" w:rsidRPr="00790395">
        <w:rPr>
          <w:sz w:val="24"/>
          <w:szCs w:val="24"/>
          <w:lang w:val="sr-Latn-RS"/>
        </w:rPr>
        <w:t xml:space="preserve">više od </w:t>
      </w:r>
      <w:r w:rsidRPr="00790395">
        <w:rPr>
          <w:sz w:val="24"/>
          <w:szCs w:val="24"/>
          <w:lang w:val="sr-Latn-RS"/>
        </w:rPr>
        <w:t xml:space="preserve">0,5% BDP-a </w:t>
      </w:r>
      <w:r w:rsidR="00EE24DB" w:rsidRPr="00790395">
        <w:rPr>
          <w:sz w:val="24"/>
          <w:szCs w:val="24"/>
          <w:lang w:val="sr-Latn-RS"/>
        </w:rPr>
        <w:t>godišnje kako bi sustigla druge zemlje Centralne</w:t>
      </w:r>
      <w:r w:rsidR="002C0A38">
        <w:rPr>
          <w:sz w:val="24"/>
          <w:szCs w:val="24"/>
          <w:lang w:val="sr-Latn-RS"/>
        </w:rPr>
        <w:t xml:space="preserve"> i </w:t>
      </w:r>
      <w:r w:rsidR="00EE24DB" w:rsidRPr="00790395">
        <w:rPr>
          <w:sz w:val="24"/>
          <w:szCs w:val="24"/>
          <w:lang w:val="sr-Latn-RS"/>
        </w:rPr>
        <w:t>Istočne Evrope. Iako je postojao rast u ulaganjima, ovaj nivo nije dostignut pre pandemije. Štaviše, budžetom za 2022. godinu je stopa kapitalnih ulaganja u zdravstveni sistem ponovo umanjena.</w:t>
      </w:r>
      <w:r w:rsidR="00EE24DB" w:rsidRPr="00790395">
        <w:rPr>
          <w:sz w:val="24"/>
          <w:szCs w:val="24"/>
          <w:vertAlign w:val="superscript"/>
          <w:lang w:val="sr-Latn-RS"/>
        </w:rPr>
        <w:footnoteReference w:id="25"/>
      </w:r>
      <w:r w:rsidR="003B7810" w:rsidRPr="00790395">
        <w:rPr>
          <w:sz w:val="24"/>
          <w:szCs w:val="24"/>
          <w:lang w:val="sr-Latn-RS"/>
        </w:rPr>
        <w:t xml:space="preserve"> Ovako </w:t>
      </w:r>
      <w:r w:rsidR="003B7810" w:rsidRPr="00790395">
        <w:rPr>
          <w:sz w:val="24"/>
          <w:szCs w:val="24"/>
          <w:lang w:val="sr-Latn-RS"/>
        </w:rPr>
        <w:lastRenderedPageBreak/>
        <w:t>nizak stepen izdataka za zdravstvo ima značajne implikacije na uživanje prava na zdravlje u Srbiji, posebno za grupe sa niskim primanjima</w:t>
      </w:r>
      <w:r w:rsidR="002C0A38">
        <w:rPr>
          <w:sz w:val="24"/>
          <w:szCs w:val="24"/>
          <w:lang w:val="sr-Latn-RS"/>
        </w:rPr>
        <w:t xml:space="preserve"> i </w:t>
      </w:r>
      <w:r w:rsidR="003B7810" w:rsidRPr="00790395">
        <w:rPr>
          <w:sz w:val="24"/>
          <w:szCs w:val="24"/>
          <w:lang w:val="sr-Latn-RS"/>
        </w:rPr>
        <w:t>marginalizovane grupe.</w:t>
      </w:r>
    </w:p>
    <w:p w14:paraId="5B1ED5B6" w14:textId="1CD2552C" w:rsidR="003B7810" w:rsidRPr="0067694E" w:rsidRDefault="003B7810" w:rsidP="00D06744">
      <w:pPr>
        <w:numPr>
          <w:ilvl w:val="0"/>
          <w:numId w:val="3"/>
        </w:numPr>
        <w:pBdr>
          <w:top w:val="nil"/>
          <w:left w:val="nil"/>
          <w:bottom w:val="nil"/>
          <w:right w:val="nil"/>
          <w:between w:val="nil"/>
        </w:pBdr>
        <w:spacing w:before="100" w:beforeAutospacing="1" w:after="100" w:afterAutospacing="1" w:line="240" w:lineRule="auto"/>
        <w:ind w:left="0" w:firstLine="0"/>
        <w:jc w:val="both"/>
        <w:rPr>
          <w:b/>
          <w:bCs/>
          <w:sz w:val="24"/>
          <w:szCs w:val="24"/>
          <w:lang w:val="sr-Latn-RS"/>
        </w:rPr>
      </w:pPr>
      <w:r w:rsidRPr="0067694E">
        <w:rPr>
          <w:b/>
          <w:bCs/>
          <w:sz w:val="24"/>
          <w:szCs w:val="24"/>
          <w:lang w:val="sr-Latn-RS"/>
        </w:rPr>
        <w:t>Slabe zakonodavne mere kojima se garantuju transparentnost</w:t>
      </w:r>
      <w:r w:rsidR="002C0A38" w:rsidRPr="0067694E">
        <w:rPr>
          <w:b/>
          <w:bCs/>
          <w:sz w:val="24"/>
          <w:szCs w:val="24"/>
          <w:lang w:val="sr-Latn-RS"/>
        </w:rPr>
        <w:t xml:space="preserve"> i </w:t>
      </w:r>
      <w:r w:rsidRPr="0067694E">
        <w:rPr>
          <w:b/>
          <w:bCs/>
          <w:sz w:val="24"/>
          <w:szCs w:val="24"/>
          <w:lang w:val="sr-Latn-RS"/>
        </w:rPr>
        <w:t xml:space="preserve">zaštita od korupcije takođe doprinose daljem ograničavanju kapaciteta države da mobiliše, </w:t>
      </w:r>
      <w:r w:rsidR="006A681B" w:rsidRPr="0067694E">
        <w:rPr>
          <w:b/>
          <w:bCs/>
          <w:sz w:val="24"/>
          <w:szCs w:val="24"/>
          <w:lang w:val="sr-Latn-RS"/>
        </w:rPr>
        <w:t>raspo</w:t>
      </w:r>
      <w:r w:rsidRPr="0067694E">
        <w:rPr>
          <w:b/>
          <w:bCs/>
          <w:sz w:val="24"/>
          <w:szCs w:val="24"/>
          <w:lang w:val="sr-Latn-RS"/>
        </w:rPr>
        <w:t>deljuje</w:t>
      </w:r>
      <w:r w:rsidR="002C0A38" w:rsidRPr="0067694E">
        <w:rPr>
          <w:b/>
          <w:bCs/>
          <w:sz w:val="24"/>
          <w:szCs w:val="24"/>
          <w:lang w:val="sr-Latn-RS"/>
        </w:rPr>
        <w:t xml:space="preserve"> i </w:t>
      </w:r>
      <w:r w:rsidRPr="0067694E">
        <w:rPr>
          <w:b/>
          <w:bCs/>
          <w:sz w:val="24"/>
          <w:szCs w:val="24"/>
          <w:lang w:val="sr-Latn-RS"/>
        </w:rPr>
        <w:t>troši resurse za ostvarivanje ekonomskih</w:t>
      </w:r>
      <w:r w:rsidR="002C0A38" w:rsidRPr="0067694E">
        <w:rPr>
          <w:b/>
          <w:bCs/>
          <w:sz w:val="24"/>
          <w:szCs w:val="24"/>
          <w:lang w:val="sr-Latn-RS"/>
        </w:rPr>
        <w:t xml:space="preserve"> i </w:t>
      </w:r>
      <w:r w:rsidRPr="0067694E">
        <w:rPr>
          <w:b/>
          <w:bCs/>
          <w:sz w:val="24"/>
          <w:szCs w:val="24"/>
          <w:lang w:val="sr-Latn-RS"/>
        </w:rPr>
        <w:t xml:space="preserve">socijalnih prava. </w:t>
      </w:r>
      <w:r w:rsidRPr="0067694E">
        <w:rPr>
          <w:sz w:val="24"/>
          <w:szCs w:val="24"/>
          <w:lang w:val="sr-Latn-RS"/>
        </w:rPr>
        <w:t>Zakon o budžetu</w:t>
      </w:r>
      <w:r w:rsidR="0089754F" w:rsidRPr="0067694E">
        <w:rPr>
          <w:sz w:val="24"/>
          <w:szCs w:val="24"/>
          <w:lang w:val="sr-Latn-RS"/>
        </w:rPr>
        <w:t xml:space="preserve"> Srbije</w:t>
      </w:r>
      <w:r w:rsidRPr="0067694E">
        <w:rPr>
          <w:sz w:val="24"/>
          <w:szCs w:val="24"/>
          <w:lang w:val="sr-Latn-RS"/>
        </w:rPr>
        <w:t xml:space="preserve"> </w:t>
      </w:r>
      <w:r w:rsidR="0089754F" w:rsidRPr="0067694E">
        <w:rPr>
          <w:sz w:val="24"/>
          <w:szCs w:val="24"/>
          <w:lang w:val="sr-Latn-RS"/>
        </w:rPr>
        <w:t xml:space="preserve">je </w:t>
      </w:r>
      <w:r w:rsidR="0089754F" w:rsidRPr="0067694E">
        <w:rPr>
          <w:b/>
          <w:bCs/>
          <w:sz w:val="24"/>
          <w:szCs w:val="24"/>
          <w:lang w:val="sr-Latn-RS"/>
        </w:rPr>
        <w:t>veoma netransparentan</w:t>
      </w:r>
      <w:r w:rsidR="0089754F" w:rsidRPr="0067694E">
        <w:rPr>
          <w:sz w:val="24"/>
          <w:szCs w:val="24"/>
          <w:lang w:val="sr-Latn-RS"/>
        </w:rPr>
        <w:t>, čak</w:t>
      </w:r>
      <w:r w:rsidR="0067694E" w:rsidRPr="0067694E">
        <w:rPr>
          <w:sz w:val="24"/>
          <w:szCs w:val="24"/>
          <w:lang w:val="sr-Latn-RS"/>
        </w:rPr>
        <w:t xml:space="preserve"> i</w:t>
      </w:r>
      <w:r w:rsidR="0089754F" w:rsidRPr="0067694E">
        <w:rPr>
          <w:sz w:val="24"/>
          <w:szCs w:val="24"/>
          <w:lang w:val="sr-Latn-RS"/>
        </w:rPr>
        <w:t xml:space="preserve"> u pogledu izdv</w:t>
      </w:r>
      <w:r w:rsidR="0067694E" w:rsidRPr="0067694E">
        <w:rPr>
          <w:sz w:val="24"/>
          <w:szCs w:val="24"/>
          <w:lang w:val="sr-Latn-RS"/>
        </w:rPr>
        <w:t>ajanja sredstava</w:t>
      </w:r>
      <w:r w:rsidR="0089754F" w:rsidRPr="0067694E">
        <w:rPr>
          <w:sz w:val="24"/>
          <w:szCs w:val="24"/>
          <w:lang w:val="sr-Latn-RS"/>
        </w:rPr>
        <w:t xml:space="preserve"> za druge svrhe. Kao što je navedeno u Izveštaju o napretku Srbije, „iako </w:t>
      </w:r>
      <w:r w:rsidR="00927C79" w:rsidRPr="0067694E">
        <w:rPr>
          <w:sz w:val="24"/>
          <w:szCs w:val="24"/>
          <w:lang w:val="sr-Latn-RS"/>
        </w:rPr>
        <w:t>se budžet struktuira programima</w:t>
      </w:r>
      <w:r w:rsidR="0089754F" w:rsidRPr="0067694E">
        <w:rPr>
          <w:sz w:val="24"/>
          <w:szCs w:val="24"/>
          <w:lang w:val="sr-Latn-RS"/>
        </w:rPr>
        <w:t>, veza između programa</w:t>
      </w:r>
      <w:r w:rsidR="00927C79" w:rsidRPr="0067694E">
        <w:rPr>
          <w:sz w:val="24"/>
          <w:szCs w:val="24"/>
          <w:lang w:val="sr-Latn-RS"/>
        </w:rPr>
        <w:t xml:space="preserve"> Vlade</w:t>
      </w:r>
      <w:r w:rsidR="002C0A38" w:rsidRPr="0067694E">
        <w:rPr>
          <w:sz w:val="24"/>
          <w:szCs w:val="24"/>
          <w:lang w:val="sr-Latn-RS"/>
        </w:rPr>
        <w:t xml:space="preserve"> i </w:t>
      </w:r>
      <w:r w:rsidR="0089754F" w:rsidRPr="0067694E">
        <w:rPr>
          <w:sz w:val="24"/>
          <w:szCs w:val="24"/>
          <w:lang w:val="sr-Latn-RS"/>
        </w:rPr>
        <w:t>sektorskih strategija</w:t>
      </w:r>
      <w:r w:rsidR="002C0A38" w:rsidRPr="0067694E">
        <w:rPr>
          <w:sz w:val="24"/>
          <w:szCs w:val="24"/>
          <w:lang w:val="sr-Latn-RS"/>
        </w:rPr>
        <w:t xml:space="preserve"> i </w:t>
      </w:r>
      <w:r w:rsidR="0089754F" w:rsidRPr="0067694E">
        <w:rPr>
          <w:sz w:val="24"/>
          <w:szCs w:val="24"/>
          <w:lang w:val="sr-Latn-RS"/>
        </w:rPr>
        <w:t>operativnih planova budžetskih korisnika je</w:t>
      </w:r>
      <w:r w:rsidR="002C0A38" w:rsidRPr="0067694E">
        <w:rPr>
          <w:sz w:val="24"/>
          <w:szCs w:val="24"/>
          <w:lang w:val="sr-Latn-RS"/>
        </w:rPr>
        <w:t xml:space="preserve"> i </w:t>
      </w:r>
      <w:r w:rsidR="0089754F" w:rsidRPr="0067694E">
        <w:rPr>
          <w:sz w:val="24"/>
          <w:szCs w:val="24"/>
          <w:lang w:val="sr-Latn-RS"/>
        </w:rPr>
        <w:t>dalje slaba.“</w:t>
      </w:r>
      <w:r w:rsidR="00814F18" w:rsidRPr="0067694E">
        <w:rPr>
          <w:sz w:val="24"/>
          <w:szCs w:val="24"/>
          <w:vertAlign w:val="superscript"/>
          <w:lang w:val="sr-Latn-RS"/>
        </w:rPr>
        <w:footnoteReference w:id="26"/>
      </w:r>
      <w:r w:rsidR="00814F18" w:rsidRPr="0067694E">
        <w:rPr>
          <w:sz w:val="24"/>
          <w:szCs w:val="24"/>
          <w:lang w:val="sr-Latn-RS"/>
        </w:rPr>
        <w:t xml:space="preserve"> </w:t>
      </w:r>
      <w:r w:rsidR="00780860" w:rsidRPr="0067694E">
        <w:rPr>
          <w:sz w:val="24"/>
          <w:szCs w:val="24"/>
          <w:lang w:val="sr-Latn-RS"/>
        </w:rPr>
        <w:t>Ovo</w:t>
      </w:r>
      <w:r w:rsidR="00814F18" w:rsidRPr="0067694E">
        <w:rPr>
          <w:sz w:val="24"/>
          <w:szCs w:val="24"/>
          <w:lang w:val="sr-Latn-RS"/>
        </w:rPr>
        <w:t xml:space="preserve"> utiče na transparentnost budžetskih procesa</w:t>
      </w:r>
      <w:r w:rsidR="002C0A38" w:rsidRPr="0067694E">
        <w:rPr>
          <w:sz w:val="24"/>
          <w:szCs w:val="24"/>
          <w:lang w:val="sr-Latn-RS"/>
        </w:rPr>
        <w:t xml:space="preserve"> i </w:t>
      </w:r>
      <w:r w:rsidR="00FE5B52" w:rsidRPr="0067694E">
        <w:rPr>
          <w:sz w:val="24"/>
          <w:szCs w:val="24"/>
          <w:lang w:val="sr-Latn-RS"/>
        </w:rPr>
        <w:t>predstavlja prepreke za kontrolisanje potrošnje</w:t>
      </w:r>
      <w:r w:rsidR="002C0A38" w:rsidRPr="0067694E">
        <w:rPr>
          <w:sz w:val="24"/>
          <w:szCs w:val="24"/>
          <w:lang w:val="sr-Latn-RS"/>
        </w:rPr>
        <w:t xml:space="preserve"> i </w:t>
      </w:r>
      <w:r w:rsidR="00FE5B52" w:rsidRPr="0067694E">
        <w:rPr>
          <w:sz w:val="24"/>
          <w:szCs w:val="24"/>
          <w:lang w:val="sr-Latn-RS"/>
        </w:rPr>
        <w:t>efekata maksimizacije sredstava za različite sektore koji su relevantni za uživanje ekonomskih, socijalnih</w:t>
      </w:r>
      <w:r w:rsidR="002C0A38" w:rsidRPr="0067694E">
        <w:rPr>
          <w:sz w:val="24"/>
          <w:szCs w:val="24"/>
          <w:lang w:val="sr-Latn-RS"/>
        </w:rPr>
        <w:t xml:space="preserve"> i </w:t>
      </w:r>
      <w:r w:rsidR="00FE5B52" w:rsidRPr="0067694E">
        <w:rPr>
          <w:sz w:val="24"/>
          <w:szCs w:val="24"/>
          <w:lang w:val="sr-Latn-RS"/>
        </w:rPr>
        <w:t xml:space="preserve">kulturnih prava. </w:t>
      </w:r>
      <w:r w:rsidR="00CA08E0" w:rsidRPr="0067694E">
        <w:rPr>
          <w:sz w:val="24"/>
          <w:szCs w:val="24"/>
          <w:lang w:val="sr-Latn-RS"/>
        </w:rPr>
        <w:t>Čak su skupštinske rasprave u periodu od 2017.- 2019. godine na temu predloga budžeta opstruirane</w:t>
      </w:r>
      <w:r w:rsidR="002C0A38" w:rsidRPr="0067694E">
        <w:rPr>
          <w:sz w:val="24"/>
          <w:szCs w:val="24"/>
          <w:lang w:val="sr-Latn-RS"/>
        </w:rPr>
        <w:t xml:space="preserve"> i </w:t>
      </w:r>
      <w:r w:rsidR="00CA08E0" w:rsidRPr="0067694E">
        <w:rPr>
          <w:sz w:val="24"/>
          <w:szCs w:val="24"/>
          <w:lang w:val="sr-Latn-RS"/>
        </w:rPr>
        <w:t xml:space="preserve">izvrtane proceduralnim manevrima vladajuće stranke. </w:t>
      </w:r>
    </w:p>
    <w:p w14:paraId="531EEB79" w14:textId="77777777" w:rsidR="006A681B" w:rsidRDefault="00CA08E0" w:rsidP="006A681B">
      <w:pPr>
        <w:numPr>
          <w:ilvl w:val="0"/>
          <w:numId w:val="3"/>
        </w:numPr>
        <w:pBdr>
          <w:top w:val="nil"/>
          <w:left w:val="nil"/>
          <w:bottom w:val="nil"/>
          <w:right w:val="nil"/>
          <w:between w:val="nil"/>
        </w:pBdr>
        <w:spacing w:before="100" w:beforeAutospacing="1" w:after="100" w:afterAutospacing="1" w:line="240" w:lineRule="auto"/>
        <w:ind w:left="0" w:firstLine="0"/>
        <w:jc w:val="both"/>
        <w:rPr>
          <w:sz w:val="24"/>
          <w:szCs w:val="24"/>
          <w:lang w:val="sr-Latn-RS"/>
        </w:rPr>
      </w:pPr>
      <w:r w:rsidRPr="00790395">
        <w:rPr>
          <w:sz w:val="24"/>
          <w:szCs w:val="24"/>
          <w:lang w:val="sr-Latn-RS"/>
        </w:rPr>
        <w:t xml:space="preserve">U </w:t>
      </w:r>
      <w:r w:rsidR="00107AAE" w:rsidRPr="00790395">
        <w:rPr>
          <w:sz w:val="24"/>
          <w:szCs w:val="24"/>
          <w:lang w:val="sr-Latn-RS"/>
        </w:rPr>
        <w:t>svojoj Oceni Predloga</w:t>
      </w:r>
      <w:r w:rsidRPr="00790395">
        <w:rPr>
          <w:sz w:val="24"/>
          <w:szCs w:val="24"/>
          <w:lang w:val="sr-Latn-RS"/>
        </w:rPr>
        <w:t xml:space="preserve"> budžeta za 2022. godinu, Fiskalni savet Republike Srbije zaključio </w:t>
      </w:r>
      <w:r w:rsidR="00107AAE" w:rsidRPr="00790395">
        <w:rPr>
          <w:sz w:val="24"/>
          <w:szCs w:val="24"/>
          <w:lang w:val="sr-Latn-RS"/>
        </w:rPr>
        <w:t xml:space="preserve">je </w:t>
      </w:r>
      <w:r w:rsidRPr="00790395">
        <w:rPr>
          <w:sz w:val="24"/>
          <w:szCs w:val="24"/>
          <w:lang w:val="sr-Latn-RS"/>
        </w:rPr>
        <w:t>da</w:t>
      </w:r>
      <w:r w:rsidR="00107AAE" w:rsidRPr="00790395">
        <w:rPr>
          <w:sz w:val="24"/>
          <w:szCs w:val="24"/>
          <w:lang w:val="sr-Latn-RS"/>
        </w:rPr>
        <w:t xml:space="preserve"> је nedovoljna transparentnost „Problem koji se ponavlja u [...] predlogu budžeta [...] [a] koja se odnosi pre svega na rashode Kancelarije za javna ulaganja, pojedine delove subvencija, neto budžetske pozajmice</w:t>
      </w:r>
      <w:r w:rsidR="002C0A38">
        <w:rPr>
          <w:sz w:val="24"/>
          <w:szCs w:val="24"/>
          <w:lang w:val="sr-Latn-RS"/>
        </w:rPr>
        <w:t xml:space="preserve"> i </w:t>
      </w:r>
      <w:r w:rsidR="00107AAE" w:rsidRPr="00790395">
        <w:rPr>
          <w:sz w:val="24"/>
          <w:szCs w:val="24"/>
          <w:lang w:val="sr-Latn-RS"/>
        </w:rPr>
        <w:t>na bezbednosni sektor.“</w:t>
      </w:r>
      <w:r w:rsidR="00107AAE" w:rsidRPr="00790395">
        <w:rPr>
          <w:color w:val="000000"/>
          <w:sz w:val="24"/>
          <w:szCs w:val="24"/>
          <w:vertAlign w:val="superscript"/>
          <w:lang w:val="sr-Latn-RS"/>
        </w:rPr>
        <w:footnoteReference w:id="27"/>
      </w:r>
      <w:r w:rsidR="00107AAE" w:rsidRPr="00790395">
        <w:rPr>
          <w:sz w:val="24"/>
          <w:szCs w:val="24"/>
          <w:lang w:val="sr-Latn-RS"/>
        </w:rPr>
        <w:t xml:space="preserve">  Fiskalni savet dalje navodi da je nemoguće utvrditi pravu svrhu troškova u iznosu od 1,3 milijarde </w:t>
      </w:r>
      <w:r w:rsidR="0063604B" w:rsidRPr="00790395">
        <w:rPr>
          <w:sz w:val="24"/>
          <w:szCs w:val="24"/>
          <w:lang w:val="sr-Latn-RS"/>
        </w:rPr>
        <w:t>evra, dve trećine od kojih su izdvojeni za Ministarstvo odbrane.</w:t>
      </w:r>
      <w:r w:rsidR="0063604B" w:rsidRPr="00790395">
        <w:rPr>
          <w:color w:val="000000"/>
          <w:sz w:val="24"/>
          <w:szCs w:val="24"/>
          <w:vertAlign w:val="superscript"/>
          <w:lang w:val="sr-Latn-RS"/>
        </w:rPr>
        <w:footnoteReference w:id="28"/>
      </w:r>
      <w:r w:rsidR="0063604B" w:rsidRPr="00790395">
        <w:rPr>
          <w:sz w:val="24"/>
          <w:szCs w:val="24"/>
          <w:lang w:val="sr-Latn-RS"/>
        </w:rPr>
        <w:t xml:space="preserve"> Pored toga, važno je napomenuti da Vlada ima ovlašćenje da promeni način raspodele sredstava bez saglasnosti Skupštine u dve situacije: kada dođe do vanredne situacije (elementarne nepogode, pandemije</w:t>
      </w:r>
      <w:r w:rsidR="002C0A38">
        <w:rPr>
          <w:sz w:val="24"/>
          <w:szCs w:val="24"/>
          <w:lang w:val="sr-Latn-RS"/>
        </w:rPr>
        <w:t xml:space="preserve"> i </w:t>
      </w:r>
      <w:r w:rsidR="0063604B" w:rsidRPr="00790395">
        <w:rPr>
          <w:sz w:val="24"/>
          <w:szCs w:val="24"/>
          <w:lang w:val="sr-Latn-RS"/>
        </w:rPr>
        <w:t>sl.),</w:t>
      </w:r>
      <w:r w:rsidR="002C0A38">
        <w:rPr>
          <w:sz w:val="24"/>
          <w:szCs w:val="24"/>
          <w:lang w:val="sr-Latn-RS"/>
        </w:rPr>
        <w:t xml:space="preserve"> i </w:t>
      </w:r>
      <w:r w:rsidR="0063604B" w:rsidRPr="00790395">
        <w:rPr>
          <w:sz w:val="24"/>
          <w:szCs w:val="24"/>
          <w:lang w:val="sr-Latn-RS"/>
        </w:rPr>
        <w:t xml:space="preserve">u slučajevima kada naplata državnih prihoda nije u skladu sa planiranom dinamikom naplate. Gorenavedene promene izdvajanja ne utiču direktno na ukupnu državnu potrošnju, ali se postupak može koristiti kao </w:t>
      </w:r>
      <w:r w:rsidR="0063604B" w:rsidRPr="00790395">
        <w:rPr>
          <w:b/>
          <w:bCs/>
          <w:sz w:val="24"/>
          <w:szCs w:val="24"/>
          <w:lang w:val="sr-Latn-RS"/>
        </w:rPr>
        <w:t>diskreciono pravo</w:t>
      </w:r>
      <w:r w:rsidR="0063604B" w:rsidRPr="00790395">
        <w:rPr>
          <w:sz w:val="24"/>
          <w:szCs w:val="24"/>
          <w:lang w:val="sr-Latn-RS"/>
        </w:rPr>
        <w:t xml:space="preserve"> Vlade, </w:t>
      </w:r>
      <w:r w:rsidR="00352A1C">
        <w:rPr>
          <w:sz w:val="24"/>
          <w:szCs w:val="24"/>
          <w:lang w:val="sr-Latn-RS"/>
        </w:rPr>
        <w:t>i tada nedostaje adekvatna</w:t>
      </w:r>
      <w:r w:rsidR="0063604B" w:rsidRPr="00790395">
        <w:rPr>
          <w:sz w:val="24"/>
          <w:szCs w:val="24"/>
          <w:lang w:val="sr-Latn-RS"/>
        </w:rPr>
        <w:t xml:space="preserve"> kontrol</w:t>
      </w:r>
      <w:r w:rsidR="00352A1C">
        <w:rPr>
          <w:sz w:val="24"/>
          <w:szCs w:val="24"/>
          <w:lang w:val="sr-Latn-RS"/>
        </w:rPr>
        <w:t>a</w:t>
      </w:r>
      <w:r w:rsidR="002C0A38">
        <w:rPr>
          <w:sz w:val="24"/>
          <w:szCs w:val="24"/>
          <w:lang w:val="sr-Latn-RS"/>
        </w:rPr>
        <w:t xml:space="preserve"> i </w:t>
      </w:r>
      <w:r w:rsidR="0063604B" w:rsidRPr="00790395">
        <w:rPr>
          <w:sz w:val="24"/>
          <w:szCs w:val="24"/>
          <w:lang w:val="sr-Latn-RS"/>
        </w:rPr>
        <w:t>transparentnosti</w:t>
      </w:r>
      <w:r w:rsidR="00AC5325" w:rsidRPr="00790395">
        <w:rPr>
          <w:sz w:val="24"/>
          <w:szCs w:val="24"/>
          <w:lang w:val="sr-Latn-RS"/>
        </w:rPr>
        <w:t xml:space="preserve"> trošenja sredstava</w:t>
      </w:r>
      <w:r w:rsidR="0063604B" w:rsidRPr="00790395">
        <w:rPr>
          <w:sz w:val="24"/>
          <w:szCs w:val="24"/>
          <w:lang w:val="sr-Latn-RS"/>
        </w:rPr>
        <w:t>.</w:t>
      </w:r>
    </w:p>
    <w:p w14:paraId="46559511" w14:textId="77777777" w:rsidR="006A681B" w:rsidRDefault="006A681B" w:rsidP="006A681B">
      <w:pPr>
        <w:rPr>
          <w:sz w:val="24"/>
          <w:szCs w:val="24"/>
          <w:lang w:val="sr-Latn-RS"/>
        </w:rPr>
      </w:pPr>
      <w:r>
        <w:rPr>
          <w:sz w:val="24"/>
          <w:szCs w:val="24"/>
          <w:lang w:val="sr-Latn-RS"/>
        </w:rPr>
        <w:br w:type="page"/>
      </w:r>
    </w:p>
    <w:p w14:paraId="4D60E617" w14:textId="77777777" w:rsidR="006A681B" w:rsidRDefault="006A681B" w:rsidP="006A681B">
      <w:pPr>
        <w:rPr>
          <w:sz w:val="24"/>
          <w:szCs w:val="24"/>
          <w:lang w:val="sr-Latn-RS"/>
        </w:rPr>
      </w:pPr>
    </w:p>
    <w:p w14:paraId="3E41D7D2" w14:textId="77777777" w:rsidR="006A681B" w:rsidRDefault="006A681B" w:rsidP="006A681B">
      <w:pPr>
        <w:rPr>
          <w:sz w:val="24"/>
          <w:szCs w:val="24"/>
          <w:lang w:val="sr-Latn-RS"/>
        </w:rPr>
      </w:pPr>
    </w:p>
    <w:p w14:paraId="76344C1A" w14:textId="77777777" w:rsidR="006A681B" w:rsidRDefault="006A681B" w:rsidP="006A681B">
      <w:pPr>
        <w:rPr>
          <w:sz w:val="24"/>
          <w:szCs w:val="24"/>
          <w:lang w:val="sr-Latn-RS"/>
        </w:rPr>
      </w:pPr>
    </w:p>
    <w:p w14:paraId="12D6FF05" w14:textId="77777777" w:rsidR="006A681B" w:rsidRDefault="006A681B" w:rsidP="006A681B">
      <w:pPr>
        <w:rPr>
          <w:sz w:val="24"/>
          <w:szCs w:val="24"/>
          <w:lang w:val="sr-Latn-RS"/>
        </w:rPr>
      </w:pPr>
    </w:p>
    <w:p w14:paraId="3340B6E1" w14:textId="77777777" w:rsidR="006A681B" w:rsidRDefault="006A681B" w:rsidP="006A681B">
      <w:pPr>
        <w:rPr>
          <w:sz w:val="24"/>
          <w:szCs w:val="24"/>
          <w:lang w:val="sr-Latn-RS"/>
        </w:rPr>
      </w:pPr>
    </w:p>
    <w:p w14:paraId="2E7F2374" w14:textId="77777777" w:rsidR="006A681B" w:rsidRDefault="006A681B" w:rsidP="006A681B">
      <w:pPr>
        <w:rPr>
          <w:sz w:val="24"/>
          <w:szCs w:val="24"/>
          <w:lang w:val="sr-Latn-RS"/>
        </w:rPr>
      </w:pPr>
    </w:p>
    <w:p w14:paraId="6BE18CA4" w14:textId="77777777" w:rsidR="006A681B" w:rsidRDefault="006A681B" w:rsidP="006A681B">
      <w:pPr>
        <w:rPr>
          <w:sz w:val="24"/>
          <w:szCs w:val="24"/>
          <w:lang w:val="sr-Latn-RS"/>
        </w:rPr>
      </w:pPr>
    </w:p>
    <w:p w14:paraId="5705800A" w14:textId="5E7FE784" w:rsidR="00D06744" w:rsidRPr="006A681B" w:rsidRDefault="0009655A" w:rsidP="006A681B">
      <w:pPr>
        <w:rPr>
          <w:sz w:val="24"/>
          <w:szCs w:val="24"/>
          <w:lang w:val="sr-Latn-RS"/>
        </w:rPr>
      </w:pPr>
      <w:r w:rsidRPr="00790395">
        <w:rPr>
          <w:noProof/>
          <w:sz w:val="24"/>
          <w:szCs w:val="24"/>
          <w:lang w:val="sr-Latn-RS" w:eastAsia="en-GB"/>
        </w:rPr>
        <w:drawing>
          <wp:anchor distT="0" distB="0" distL="114300" distR="114300" simplePos="0" relativeHeight="251657216" behindDoc="0" locked="1" layoutInCell="1" allowOverlap="1" wp14:anchorId="48AFB88D" wp14:editId="1EA15EE3">
            <wp:simplePos x="0" y="0"/>
            <wp:positionH relativeFrom="margin">
              <wp:posOffset>-7620</wp:posOffset>
            </wp:positionH>
            <wp:positionV relativeFrom="paragraph">
              <wp:posOffset>-2423795</wp:posOffset>
            </wp:positionV>
            <wp:extent cx="5730875" cy="3131820"/>
            <wp:effectExtent l="0" t="0" r="3175"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5730875" cy="3131820"/>
                    </a:xfrm>
                    <a:prstGeom prst="rect">
                      <a:avLst/>
                    </a:prstGeom>
                    <a:ln/>
                  </pic:spPr>
                </pic:pic>
              </a:graphicData>
            </a:graphic>
            <wp14:sizeRelH relativeFrom="margin">
              <wp14:pctWidth>0</wp14:pctWidth>
            </wp14:sizeRelH>
            <wp14:sizeRelV relativeFrom="margin">
              <wp14:pctHeight>0</wp14:pctHeight>
            </wp14:sizeRelV>
          </wp:anchor>
        </w:drawing>
      </w:r>
    </w:p>
    <w:p w14:paraId="091399B0" w14:textId="77777777" w:rsidR="00814F18" w:rsidRPr="00790395" w:rsidRDefault="00814F18" w:rsidP="00627234">
      <w:pPr>
        <w:pBdr>
          <w:top w:val="nil"/>
          <w:left w:val="nil"/>
          <w:bottom w:val="nil"/>
          <w:right w:val="nil"/>
          <w:between w:val="nil"/>
        </w:pBdr>
        <w:spacing w:before="100" w:beforeAutospacing="1" w:after="100" w:afterAutospacing="1" w:line="240" w:lineRule="auto"/>
        <w:jc w:val="both"/>
        <w:rPr>
          <w:b/>
          <w:sz w:val="24"/>
          <w:szCs w:val="24"/>
          <w:lang w:val="sr-Latn-RS"/>
        </w:rPr>
      </w:pPr>
    </w:p>
    <w:p w14:paraId="090DD714" w14:textId="72A582D8" w:rsidR="009B3885" w:rsidRPr="00924491" w:rsidRDefault="00814F18" w:rsidP="00627234">
      <w:pPr>
        <w:pBdr>
          <w:top w:val="nil"/>
          <w:left w:val="nil"/>
          <w:bottom w:val="nil"/>
          <w:right w:val="nil"/>
          <w:between w:val="nil"/>
        </w:pBdr>
        <w:spacing w:before="100" w:beforeAutospacing="1" w:after="100" w:afterAutospacing="1" w:line="240" w:lineRule="auto"/>
        <w:jc w:val="both"/>
        <w:rPr>
          <w:bCs/>
          <w:sz w:val="24"/>
          <w:szCs w:val="24"/>
          <w:lang w:val="sr-Latn-RS"/>
        </w:rPr>
      </w:pPr>
      <w:r w:rsidRPr="00790395">
        <w:rPr>
          <w:b/>
          <w:sz w:val="24"/>
          <w:szCs w:val="24"/>
          <w:lang w:val="sr-Latn-RS"/>
        </w:rPr>
        <w:t>Grafikon</w:t>
      </w:r>
      <w:r w:rsidR="008C0DA0" w:rsidRPr="00790395">
        <w:rPr>
          <w:b/>
          <w:sz w:val="24"/>
          <w:szCs w:val="24"/>
          <w:lang w:val="sr-Latn-RS"/>
        </w:rPr>
        <w:t xml:space="preserve"> 1: </w:t>
      </w:r>
      <w:r w:rsidRPr="00924491">
        <w:rPr>
          <w:bCs/>
          <w:sz w:val="24"/>
          <w:szCs w:val="24"/>
          <w:lang w:val="sr-Latn-RS"/>
        </w:rPr>
        <w:t>Iznos budžetske rezerve</w:t>
      </w:r>
      <w:r w:rsidR="008C0DA0" w:rsidRPr="00924491">
        <w:rPr>
          <w:bCs/>
          <w:sz w:val="24"/>
          <w:szCs w:val="24"/>
          <w:lang w:val="sr-Latn-RS"/>
        </w:rPr>
        <w:t>, 2010</w:t>
      </w:r>
      <w:r w:rsidRPr="00924491">
        <w:rPr>
          <w:bCs/>
          <w:sz w:val="24"/>
          <w:szCs w:val="24"/>
          <w:lang w:val="sr-Latn-RS"/>
        </w:rPr>
        <w:t>.</w:t>
      </w:r>
      <w:r w:rsidR="008C0DA0" w:rsidRPr="00924491">
        <w:rPr>
          <w:bCs/>
          <w:sz w:val="24"/>
          <w:szCs w:val="24"/>
          <w:lang w:val="sr-Latn-RS"/>
        </w:rPr>
        <w:t xml:space="preserve"> </w:t>
      </w:r>
      <w:r w:rsidRPr="00924491">
        <w:rPr>
          <w:bCs/>
          <w:sz w:val="24"/>
          <w:szCs w:val="24"/>
          <w:lang w:val="sr-Latn-RS"/>
        </w:rPr>
        <w:t>–</w:t>
      </w:r>
      <w:r w:rsidR="008C0DA0" w:rsidRPr="00924491">
        <w:rPr>
          <w:bCs/>
          <w:sz w:val="24"/>
          <w:szCs w:val="24"/>
          <w:lang w:val="sr-Latn-RS"/>
        </w:rPr>
        <w:t xml:space="preserve"> 2020</w:t>
      </w:r>
      <w:r w:rsidRPr="00924491">
        <w:rPr>
          <w:bCs/>
          <w:sz w:val="24"/>
          <w:szCs w:val="24"/>
          <w:lang w:val="sr-Latn-RS"/>
        </w:rPr>
        <w:t>. godina</w:t>
      </w:r>
    </w:p>
    <w:p w14:paraId="7300CCC4" w14:textId="6AADC793" w:rsidR="002C67B3" w:rsidRPr="00790395" w:rsidRDefault="00AC5325" w:rsidP="00951526">
      <w:pPr>
        <w:numPr>
          <w:ilvl w:val="0"/>
          <w:numId w:val="3"/>
        </w:numPr>
        <w:pBdr>
          <w:top w:val="nil"/>
          <w:left w:val="nil"/>
          <w:bottom w:val="nil"/>
          <w:right w:val="nil"/>
          <w:between w:val="nil"/>
        </w:pBdr>
        <w:spacing w:before="100" w:beforeAutospacing="1" w:after="100" w:afterAutospacing="1" w:line="240" w:lineRule="auto"/>
        <w:ind w:left="0" w:firstLine="0"/>
        <w:jc w:val="both"/>
        <w:rPr>
          <w:color w:val="000000"/>
          <w:sz w:val="24"/>
          <w:szCs w:val="24"/>
          <w:lang w:val="sr-Latn-RS"/>
        </w:rPr>
      </w:pPr>
      <w:r w:rsidRPr="00790395">
        <w:rPr>
          <w:color w:val="000000"/>
          <w:sz w:val="24"/>
          <w:szCs w:val="24"/>
          <w:lang w:val="sr-Latn-RS"/>
        </w:rPr>
        <w:t>Sredstva izdvojena za ekonomska</w:t>
      </w:r>
      <w:r w:rsidR="002C0A38">
        <w:rPr>
          <w:color w:val="000000"/>
          <w:sz w:val="24"/>
          <w:szCs w:val="24"/>
          <w:lang w:val="sr-Latn-RS"/>
        </w:rPr>
        <w:t xml:space="preserve"> i </w:t>
      </w:r>
      <w:r w:rsidRPr="00790395">
        <w:rPr>
          <w:color w:val="000000"/>
          <w:sz w:val="24"/>
          <w:szCs w:val="24"/>
          <w:lang w:val="sr-Latn-RS"/>
        </w:rPr>
        <w:t>socijalna prava</w:t>
      </w:r>
      <w:r w:rsidR="002C0A38">
        <w:rPr>
          <w:color w:val="000000"/>
          <w:sz w:val="24"/>
          <w:szCs w:val="24"/>
          <w:lang w:val="sr-Latn-RS"/>
        </w:rPr>
        <w:t xml:space="preserve"> i </w:t>
      </w:r>
      <w:r w:rsidRPr="00790395">
        <w:rPr>
          <w:color w:val="000000"/>
          <w:sz w:val="24"/>
          <w:szCs w:val="24"/>
          <w:lang w:val="sr-Latn-RS"/>
        </w:rPr>
        <w:t>napore za oporavak od COVID-19 pandemije se često ne troše planski, što ima za posledicu stvaranje zavaravaju</w:t>
      </w:r>
      <w:r w:rsidR="00352A1C">
        <w:rPr>
          <w:color w:val="000000"/>
          <w:sz w:val="24"/>
          <w:szCs w:val="24"/>
          <w:lang w:val="sr-Latn-RS"/>
        </w:rPr>
        <w:t>ć</w:t>
      </w:r>
      <w:r w:rsidRPr="00790395">
        <w:rPr>
          <w:color w:val="000000"/>
          <w:sz w:val="24"/>
          <w:szCs w:val="24"/>
          <w:lang w:val="sr-Latn-RS"/>
        </w:rPr>
        <w:t xml:space="preserve">e slike o državnim ulaganjima u ova </w:t>
      </w:r>
      <w:r w:rsidRPr="00340A03">
        <w:rPr>
          <w:color w:val="000000"/>
          <w:sz w:val="24"/>
          <w:szCs w:val="24"/>
          <w:lang w:val="sr-Latn-RS"/>
        </w:rPr>
        <w:t xml:space="preserve">polja. </w:t>
      </w:r>
      <w:r w:rsidR="00340A03" w:rsidRPr="00340A03">
        <w:rPr>
          <w:color w:val="000000"/>
          <w:sz w:val="24"/>
          <w:szCs w:val="24"/>
          <w:lang w:val="sr-Latn-RS"/>
        </w:rPr>
        <w:t>I</w:t>
      </w:r>
      <w:r w:rsidRPr="00340A03">
        <w:rPr>
          <w:color w:val="000000"/>
          <w:sz w:val="24"/>
          <w:szCs w:val="24"/>
          <w:lang w:val="sr-Latn-RS"/>
        </w:rPr>
        <w:t xml:space="preserve">znos </w:t>
      </w:r>
      <w:r w:rsidRPr="00340A03">
        <w:rPr>
          <w:b/>
          <w:bCs/>
          <w:color w:val="000000"/>
          <w:sz w:val="24"/>
          <w:szCs w:val="24"/>
          <w:lang w:val="sr-Latn-RS"/>
        </w:rPr>
        <w:t>budžetske rezerve</w:t>
      </w:r>
      <w:r w:rsidRPr="00340A03">
        <w:rPr>
          <w:color w:val="000000"/>
          <w:sz w:val="24"/>
          <w:szCs w:val="24"/>
          <w:lang w:val="sr-Latn-RS"/>
        </w:rPr>
        <w:t xml:space="preserve"> vremenom </w:t>
      </w:r>
      <w:r w:rsidR="00340A03" w:rsidRPr="00340A03">
        <w:rPr>
          <w:color w:val="000000"/>
          <w:sz w:val="24"/>
          <w:szCs w:val="24"/>
          <w:lang w:val="sr-Latn-RS"/>
        </w:rPr>
        <w:t xml:space="preserve">se </w:t>
      </w:r>
      <w:r w:rsidRPr="00340A03">
        <w:rPr>
          <w:color w:val="000000"/>
          <w:sz w:val="24"/>
          <w:szCs w:val="24"/>
          <w:lang w:val="sr-Latn-RS"/>
        </w:rPr>
        <w:t>uvećava (od 2 milijarde</w:t>
      </w:r>
      <w:r w:rsidR="00BF11F3" w:rsidRPr="00340A03">
        <w:rPr>
          <w:color w:val="000000"/>
          <w:sz w:val="24"/>
          <w:szCs w:val="24"/>
          <w:lang w:val="sr-Latn-RS"/>
        </w:rPr>
        <w:t xml:space="preserve"> koliko </w:t>
      </w:r>
      <w:r w:rsidR="00352A1C" w:rsidRPr="00340A03">
        <w:rPr>
          <w:color w:val="000000"/>
          <w:sz w:val="24"/>
          <w:szCs w:val="24"/>
          <w:lang w:val="sr-Latn-RS"/>
        </w:rPr>
        <w:t>je</w:t>
      </w:r>
      <w:r w:rsidR="00BF11F3" w:rsidRPr="00340A03">
        <w:rPr>
          <w:color w:val="000000"/>
          <w:sz w:val="24"/>
          <w:szCs w:val="24"/>
          <w:lang w:val="sr-Latn-RS"/>
        </w:rPr>
        <w:t xml:space="preserve"> iznosil</w:t>
      </w:r>
      <w:r w:rsidR="00352A1C" w:rsidRPr="00340A03">
        <w:rPr>
          <w:color w:val="000000"/>
          <w:sz w:val="24"/>
          <w:szCs w:val="24"/>
          <w:lang w:val="sr-Latn-RS"/>
        </w:rPr>
        <w:t>a</w:t>
      </w:r>
      <w:r w:rsidRPr="00340A03">
        <w:rPr>
          <w:color w:val="000000"/>
          <w:sz w:val="24"/>
          <w:szCs w:val="24"/>
          <w:lang w:val="sr-Latn-RS"/>
        </w:rPr>
        <w:t xml:space="preserve"> 2010. godine</w:t>
      </w:r>
      <w:r w:rsidR="00BF11F3" w:rsidRPr="00340A03">
        <w:rPr>
          <w:color w:val="000000"/>
          <w:sz w:val="24"/>
          <w:szCs w:val="24"/>
          <w:lang w:val="sr-Latn-RS"/>
        </w:rPr>
        <w:t xml:space="preserve"> se uvećal</w:t>
      </w:r>
      <w:r w:rsidR="00352A1C" w:rsidRPr="00340A03">
        <w:rPr>
          <w:color w:val="000000"/>
          <w:sz w:val="24"/>
          <w:szCs w:val="24"/>
          <w:lang w:val="sr-Latn-RS"/>
        </w:rPr>
        <w:t>a</w:t>
      </w:r>
      <w:r w:rsidR="00BF11F3" w:rsidRPr="00340A03">
        <w:rPr>
          <w:color w:val="000000"/>
          <w:sz w:val="24"/>
          <w:szCs w:val="24"/>
          <w:lang w:val="sr-Latn-RS"/>
        </w:rPr>
        <w:t xml:space="preserve"> na 47 milijardi 2018. godine da bi </w:t>
      </w:r>
      <w:r w:rsidR="00352A1C" w:rsidRPr="00340A03">
        <w:rPr>
          <w:color w:val="000000"/>
          <w:sz w:val="24"/>
          <w:szCs w:val="24"/>
          <w:lang w:val="sr-Latn-RS"/>
        </w:rPr>
        <w:t>dospela</w:t>
      </w:r>
      <w:r w:rsidR="00BF11F3" w:rsidRPr="00340A03">
        <w:rPr>
          <w:color w:val="000000"/>
          <w:sz w:val="24"/>
          <w:szCs w:val="24"/>
          <w:lang w:val="sr-Latn-RS"/>
        </w:rPr>
        <w:t xml:space="preserve"> do rekodnog iznosa od 116 milijardi dinara 2020. godine). Vlada</w:t>
      </w:r>
      <w:r w:rsidR="00BF11F3" w:rsidRPr="00790395">
        <w:rPr>
          <w:color w:val="000000"/>
          <w:sz w:val="24"/>
          <w:szCs w:val="24"/>
          <w:lang w:val="sr-Latn-RS"/>
        </w:rPr>
        <w:t xml:space="preserve"> je uvela široko uspostavljenu praksu da se za određene programe izdvajaju veća sredstva, koja se kasnije preraspodeljuju u druge namene, koje prvobitno nisu pominjane u budžetu. Naje</w:t>
      </w:r>
      <w:r w:rsidR="00352A1C">
        <w:rPr>
          <w:color w:val="000000"/>
          <w:sz w:val="24"/>
          <w:szCs w:val="24"/>
          <w:lang w:val="sr-Latn-RS"/>
        </w:rPr>
        <w:t>k</w:t>
      </w:r>
      <w:r w:rsidR="00BF11F3" w:rsidRPr="00790395">
        <w:rPr>
          <w:color w:val="000000"/>
          <w:sz w:val="24"/>
          <w:szCs w:val="24"/>
          <w:lang w:val="sr-Latn-RS"/>
        </w:rPr>
        <w:t xml:space="preserve">stremniji primer ovoga se desio </w:t>
      </w:r>
      <w:r w:rsidR="00352A1C">
        <w:rPr>
          <w:color w:val="000000"/>
          <w:sz w:val="24"/>
          <w:szCs w:val="24"/>
          <w:lang w:val="sr-Latn-RS"/>
        </w:rPr>
        <w:t>201</w:t>
      </w:r>
      <w:r w:rsidR="00BF11F3" w:rsidRPr="00790395">
        <w:rPr>
          <w:color w:val="000000"/>
          <w:sz w:val="24"/>
          <w:szCs w:val="24"/>
          <w:lang w:val="sr-Latn-RS"/>
        </w:rPr>
        <w:t xml:space="preserve">6. godine kada je </w:t>
      </w:r>
      <w:r w:rsidR="00741729" w:rsidRPr="00790395">
        <w:rPr>
          <w:color w:val="000000"/>
          <w:sz w:val="24"/>
          <w:szCs w:val="24"/>
          <w:lang w:val="sr-Latn-RS"/>
        </w:rPr>
        <w:t>1,7 milijardi dinara koji su inicijalno odvojeni za socijalnu pomoć prenamenjeni za druge svrhe. Ove svrhe nisu uvek jasne, a većina sredstava se odvoji za Minist</w:t>
      </w:r>
      <w:r w:rsidR="00352A1C">
        <w:rPr>
          <w:color w:val="000000"/>
          <w:sz w:val="24"/>
          <w:szCs w:val="24"/>
          <w:lang w:val="sr-Latn-RS"/>
        </w:rPr>
        <w:t>a</w:t>
      </w:r>
      <w:r w:rsidR="00741729" w:rsidRPr="00790395">
        <w:rPr>
          <w:color w:val="000000"/>
          <w:sz w:val="24"/>
          <w:szCs w:val="24"/>
          <w:lang w:val="sr-Latn-RS"/>
        </w:rPr>
        <w:t>rstvo odbrane</w:t>
      </w:r>
      <w:r w:rsidR="002C0A38">
        <w:rPr>
          <w:color w:val="000000"/>
          <w:sz w:val="24"/>
          <w:szCs w:val="24"/>
          <w:lang w:val="sr-Latn-RS"/>
        </w:rPr>
        <w:t xml:space="preserve"> i </w:t>
      </w:r>
      <w:r w:rsidR="00741729" w:rsidRPr="00790395">
        <w:rPr>
          <w:color w:val="000000"/>
          <w:sz w:val="24"/>
          <w:szCs w:val="24"/>
          <w:lang w:val="sr-Latn-RS"/>
        </w:rPr>
        <w:t xml:space="preserve">Vojsku Srbije. Vlada Srbije je 2018. godine </w:t>
      </w:r>
      <w:r w:rsidR="00AE1952" w:rsidRPr="00790395">
        <w:rPr>
          <w:color w:val="000000"/>
          <w:sz w:val="24"/>
          <w:szCs w:val="24"/>
          <w:lang w:val="sr-Latn-RS"/>
        </w:rPr>
        <w:t>prenamenila</w:t>
      </w:r>
      <w:r w:rsidR="00741729" w:rsidRPr="00790395">
        <w:rPr>
          <w:color w:val="000000"/>
          <w:sz w:val="24"/>
          <w:szCs w:val="24"/>
          <w:lang w:val="sr-Latn-RS"/>
        </w:rPr>
        <w:t xml:space="preserve"> 22 milijarde dinara odvojene za druge svrhe Ministarstvu odbrane, a Odluka kojom je to sprovedeno je proglašena državnom tajnom, u skladu sa Zakonom o tajnosti podataka</w:t>
      </w:r>
      <w:r w:rsidR="002022BC" w:rsidRPr="00790395">
        <w:rPr>
          <w:color w:val="000000"/>
          <w:sz w:val="24"/>
          <w:szCs w:val="24"/>
          <w:lang w:val="sr-Latn-RS"/>
        </w:rPr>
        <w:t>.</w:t>
      </w:r>
      <w:r w:rsidR="002022BC" w:rsidRPr="00790395">
        <w:rPr>
          <w:color w:val="000000"/>
          <w:sz w:val="24"/>
          <w:szCs w:val="24"/>
          <w:vertAlign w:val="superscript"/>
          <w:lang w:val="sr-Latn-RS"/>
        </w:rPr>
        <w:footnoteReference w:id="29"/>
      </w:r>
      <w:r w:rsidR="002022BC" w:rsidRPr="00790395">
        <w:rPr>
          <w:color w:val="000000"/>
          <w:sz w:val="24"/>
          <w:szCs w:val="24"/>
          <w:lang w:val="sr-Latn-RS"/>
        </w:rPr>
        <w:t xml:space="preserve"> Čak 11 milijardi dinara</w:t>
      </w:r>
      <w:r w:rsidR="00352A1C">
        <w:rPr>
          <w:color w:val="000000"/>
          <w:sz w:val="24"/>
          <w:szCs w:val="24"/>
          <w:lang w:val="sr-Latn-RS"/>
        </w:rPr>
        <w:t>,</w:t>
      </w:r>
      <w:r w:rsidR="002022BC" w:rsidRPr="00790395">
        <w:rPr>
          <w:color w:val="000000"/>
          <w:sz w:val="24"/>
          <w:szCs w:val="24"/>
          <w:lang w:val="sr-Latn-RS"/>
        </w:rPr>
        <w:t xml:space="preserve"> </w:t>
      </w:r>
      <w:r w:rsidR="00352A1C">
        <w:rPr>
          <w:color w:val="000000"/>
          <w:sz w:val="24"/>
          <w:szCs w:val="24"/>
          <w:lang w:val="sr-Latn-RS"/>
        </w:rPr>
        <w:t>koliko</w:t>
      </w:r>
      <w:r w:rsidR="002022BC" w:rsidRPr="00790395">
        <w:rPr>
          <w:color w:val="000000"/>
          <w:sz w:val="24"/>
          <w:szCs w:val="24"/>
          <w:lang w:val="sr-Latn-RS"/>
        </w:rPr>
        <w:t xml:space="preserve"> </w:t>
      </w:r>
      <w:r w:rsidR="00352A1C">
        <w:rPr>
          <w:color w:val="000000"/>
          <w:sz w:val="24"/>
          <w:szCs w:val="24"/>
          <w:lang w:val="sr-Latn-RS"/>
        </w:rPr>
        <w:t>je</w:t>
      </w:r>
      <w:r w:rsidR="002022BC" w:rsidRPr="00790395">
        <w:rPr>
          <w:color w:val="000000"/>
          <w:sz w:val="24"/>
          <w:szCs w:val="24"/>
          <w:lang w:val="sr-Latn-RS"/>
        </w:rPr>
        <w:t xml:space="preserve"> 2021. godine izdvojen</w:t>
      </w:r>
      <w:r w:rsidR="00352A1C">
        <w:rPr>
          <w:color w:val="000000"/>
          <w:sz w:val="24"/>
          <w:szCs w:val="24"/>
          <w:lang w:val="sr-Latn-RS"/>
        </w:rPr>
        <w:t>o</w:t>
      </w:r>
      <w:r w:rsidR="002022BC" w:rsidRPr="00790395">
        <w:rPr>
          <w:color w:val="000000"/>
          <w:sz w:val="24"/>
          <w:szCs w:val="24"/>
          <w:lang w:val="sr-Latn-RS"/>
        </w:rPr>
        <w:t xml:space="preserve"> za svrhe oporavka od COVID-19 pandemije</w:t>
      </w:r>
      <w:r w:rsidR="00352A1C">
        <w:rPr>
          <w:color w:val="000000"/>
          <w:sz w:val="24"/>
          <w:szCs w:val="24"/>
          <w:lang w:val="sr-Latn-RS"/>
        </w:rPr>
        <w:t>,</w:t>
      </w:r>
      <w:r w:rsidR="002022BC" w:rsidRPr="00790395">
        <w:rPr>
          <w:color w:val="000000"/>
          <w:sz w:val="24"/>
          <w:szCs w:val="24"/>
          <w:lang w:val="sr-Latn-RS"/>
        </w:rPr>
        <w:t xml:space="preserve"> je prenamenjeno u druge svrhe</w:t>
      </w:r>
      <w:r w:rsidR="00AF0B09" w:rsidRPr="00790395">
        <w:rPr>
          <w:color w:val="000000"/>
          <w:sz w:val="24"/>
          <w:szCs w:val="24"/>
          <w:lang w:val="sr-Latn-RS"/>
        </w:rPr>
        <w:t>, a najviše Sr</w:t>
      </w:r>
      <w:r w:rsidR="00924491">
        <w:rPr>
          <w:color w:val="000000"/>
          <w:sz w:val="24"/>
          <w:szCs w:val="24"/>
          <w:lang w:val="sr-Latn-RS"/>
        </w:rPr>
        <w:t>p</w:t>
      </w:r>
      <w:r w:rsidR="00AF0B09" w:rsidRPr="00790395">
        <w:rPr>
          <w:color w:val="000000"/>
          <w:sz w:val="24"/>
          <w:szCs w:val="24"/>
          <w:lang w:val="sr-Latn-RS"/>
        </w:rPr>
        <w:t>skoj pravoslavnoj crkvi,</w:t>
      </w:r>
      <w:r w:rsidR="00AF0B09" w:rsidRPr="00790395">
        <w:rPr>
          <w:color w:val="000000"/>
          <w:sz w:val="24"/>
          <w:szCs w:val="24"/>
          <w:highlight w:val="white"/>
          <w:vertAlign w:val="superscript"/>
          <w:lang w:val="sr-Latn-RS"/>
        </w:rPr>
        <w:footnoteReference w:id="30"/>
      </w:r>
      <w:r w:rsidR="00AF0B09" w:rsidRPr="00790395">
        <w:rPr>
          <w:color w:val="000000"/>
          <w:sz w:val="24"/>
          <w:szCs w:val="24"/>
          <w:lang w:val="sr-Latn-RS"/>
        </w:rPr>
        <w:t xml:space="preserve"> fondovima lokalnih samouprava, javnim preduzećima,</w:t>
      </w:r>
      <w:r w:rsidR="00AF0B09" w:rsidRPr="00790395">
        <w:rPr>
          <w:color w:val="000000"/>
          <w:sz w:val="24"/>
          <w:szCs w:val="24"/>
          <w:highlight w:val="white"/>
          <w:vertAlign w:val="superscript"/>
          <w:lang w:val="sr-Latn-RS"/>
        </w:rPr>
        <w:footnoteReference w:id="31"/>
      </w:r>
      <w:r w:rsidR="002C0A38">
        <w:rPr>
          <w:color w:val="000000"/>
          <w:sz w:val="24"/>
          <w:szCs w:val="24"/>
          <w:lang w:val="sr-Latn-RS"/>
        </w:rPr>
        <w:t xml:space="preserve"> i </w:t>
      </w:r>
      <w:r w:rsidR="00AF0B09" w:rsidRPr="00790395">
        <w:rPr>
          <w:color w:val="000000"/>
          <w:sz w:val="24"/>
          <w:szCs w:val="24"/>
          <w:lang w:val="sr-Latn-RS"/>
        </w:rPr>
        <w:t>za druge svrhe kao što su izgradnja koncertnih hala,</w:t>
      </w:r>
      <w:r w:rsidR="00AF0B09" w:rsidRPr="00790395">
        <w:rPr>
          <w:sz w:val="24"/>
          <w:szCs w:val="24"/>
          <w:highlight w:val="white"/>
          <w:vertAlign w:val="superscript"/>
          <w:lang w:val="sr-Latn-RS"/>
        </w:rPr>
        <w:footnoteReference w:id="32"/>
      </w:r>
      <w:r w:rsidR="002C0A38">
        <w:rPr>
          <w:color w:val="000000"/>
          <w:sz w:val="24"/>
          <w:szCs w:val="24"/>
          <w:lang w:val="sr-Latn-RS"/>
        </w:rPr>
        <w:t xml:space="preserve"> i </w:t>
      </w:r>
      <w:r w:rsidR="00AF0B09" w:rsidRPr="00790395">
        <w:rPr>
          <w:color w:val="000000"/>
          <w:sz w:val="24"/>
          <w:szCs w:val="24"/>
          <w:lang w:val="sr-Latn-RS"/>
        </w:rPr>
        <w:t>bonusi za službenike Ministarstva unutrašnjih poslova.</w:t>
      </w:r>
      <w:r w:rsidR="00AF0B09" w:rsidRPr="00790395">
        <w:rPr>
          <w:color w:val="000000"/>
          <w:sz w:val="24"/>
          <w:szCs w:val="24"/>
          <w:highlight w:val="white"/>
          <w:vertAlign w:val="superscript"/>
          <w:lang w:val="sr-Latn-RS"/>
        </w:rPr>
        <w:footnoteReference w:id="33"/>
      </w:r>
      <w:r w:rsidR="00951526" w:rsidRPr="00790395">
        <w:rPr>
          <w:color w:val="000000"/>
          <w:sz w:val="24"/>
          <w:szCs w:val="24"/>
          <w:lang w:val="sr-Latn-RS"/>
        </w:rPr>
        <w:t xml:space="preserve"> Konačno, u periodu između 2002-2018. godine, Skupština je redovno propuštala da usvoji </w:t>
      </w:r>
      <w:r w:rsidR="00924491">
        <w:rPr>
          <w:color w:val="000000"/>
          <w:sz w:val="24"/>
          <w:szCs w:val="24"/>
          <w:lang w:val="sr-Latn-RS"/>
        </w:rPr>
        <w:t>Z</w:t>
      </w:r>
      <w:r w:rsidR="00951526" w:rsidRPr="00790395">
        <w:rPr>
          <w:color w:val="000000"/>
          <w:sz w:val="24"/>
          <w:szCs w:val="24"/>
          <w:lang w:val="sr-Latn-RS"/>
        </w:rPr>
        <w:t>akon</w:t>
      </w:r>
      <w:r w:rsidR="00924491">
        <w:rPr>
          <w:color w:val="000000"/>
          <w:sz w:val="24"/>
          <w:szCs w:val="24"/>
          <w:lang w:val="sr-Latn-RS"/>
        </w:rPr>
        <w:t xml:space="preserve"> </w:t>
      </w:r>
      <w:r w:rsidR="00951526" w:rsidRPr="00790395">
        <w:rPr>
          <w:color w:val="000000"/>
          <w:sz w:val="24"/>
          <w:szCs w:val="24"/>
          <w:lang w:val="sr-Latn-RS"/>
        </w:rPr>
        <w:t>o završnom računu.</w:t>
      </w:r>
    </w:p>
    <w:p w14:paraId="00BC6561" w14:textId="1A5F99EB" w:rsidR="002C67B3" w:rsidRPr="00790395" w:rsidRDefault="00443301" w:rsidP="00D06744">
      <w:pPr>
        <w:pStyle w:val="Heading1"/>
        <w:spacing w:before="100" w:beforeAutospacing="1" w:after="100" w:afterAutospacing="1" w:line="240" w:lineRule="auto"/>
        <w:rPr>
          <w:rFonts w:asciiTheme="minorHAnsi" w:hAnsiTheme="minorHAnsi" w:cstheme="minorHAnsi"/>
          <w:b/>
          <w:bCs/>
          <w:color w:val="auto"/>
          <w:sz w:val="28"/>
          <w:szCs w:val="28"/>
          <w:highlight w:val="white"/>
          <w:lang w:val="sr-Latn-RS"/>
        </w:rPr>
      </w:pPr>
      <w:bookmarkStart w:id="4" w:name="_Toc93689881"/>
      <w:r w:rsidRPr="00790395">
        <w:rPr>
          <w:rFonts w:asciiTheme="minorHAnsi" w:hAnsiTheme="minorHAnsi" w:cstheme="minorHAnsi"/>
          <w:b/>
          <w:bCs/>
          <w:color w:val="auto"/>
          <w:sz w:val="28"/>
          <w:szCs w:val="28"/>
          <w:highlight w:val="white"/>
          <w:lang w:val="sr-Latn-RS"/>
        </w:rPr>
        <w:t>P</w:t>
      </w:r>
      <w:r w:rsidRPr="00790395">
        <w:rPr>
          <w:rFonts w:asciiTheme="minorHAnsi" w:hAnsiTheme="minorHAnsi" w:cstheme="minorHAnsi"/>
          <w:b/>
          <w:bCs/>
          <w:color w:val="auto"/>
          <w:sz w:val="28"/>
          <w:szCs w:val="28"/>
          <w:lang w:val="sr-Latn-RS"/>
        </w:rPr>
        <w:t>ravo na socijalnu zaštitu</w:t>
      </w:r>
      <w:r w:rsidR="002C0A38">
        <w:rPr>
          <w:rFonts w:asciiTheme="minorHAnsi" w:hAnsiTheme="minorHAnsi" w:cstheme="minorHAnsi"/>
          <w:b/>
          <w:bCs/>
          <w:color w:val="auto"/>
          <w:sz w:val="28"/>
          <w:szCs w:val="28"/>
          <w:lang w:val="sr-Latn-RS"/>
        </w:rPr>
        <w:t xml:space="preserve"> i </w:t>
      </w:r>
      <w:r w:rsidRPr="00790395">
        <w:rPr>
          <w:rFonts w:asciiTheme="minorHAnsi" w:hAnsiTheme="minorHAnsi" w:cstheme="minorHAnsi"/>
          <w:b/>
          <w:bCs/>
          <w:color w:val="auto"/>
          <w:sz w:val="28"/>
          <w:szCs w:val="28"/>
          <w:lang w:val="sr-Latn-RS"/>
        </w:rPr>
        <w:t>adekvatan životni standard</w:t>
      </w:r>
      <w:bookmarkEnd w:id="4"/>
    </w:p>
    <w:p w14:paraId="559D9976" w14:textId="451C5CCC" w:rsidR="00443301" w:rsidRPr="00790395" w:rsidRDefault="00443301" w:rsidP="00627234">
      <w:pPr>
        <w:numPr>
          <w:ilvl w:val="0"/>
          <w:numId w:val="3"/>
        </w:numPr>
        <w:spacing w:before="100" w:beforeAutospacing="1" w:after="100" w:afterAutospacing="1" w:line="240" w:lineRule="auto"/>
        <w:ind w:left="0" w:firstLine="0"/>
        <w:jc w:val="both"/>
        <w:rPr>
          <w:lang w:val="sr-Latn-RS"/>
        </w:rPr>
      </w:pPr>
      <w:r w:rsidRPr="00790395">
        <w:rPr>
          <w:sz w:val="24"/>
          <w:szCs w:val="24"/>
          <w:lang w:val="sr-Latn-RS"/>
        </w:rPr>
        <w:t>Prema poslednjim podacima, oko 6,8% populacije</w:t>
      </w:r>
      <w:r w:rsidR="00E745E1" w:rsidRPr="00790395">
        <w:rPr>
          <w:sz w:val="24"/>
          <w:szCs w:val="24"/>
          <w:lang w:val="sr-Latn-RS"/>
        </w:rPr>
        <w:t xml:space="preserve"> Srbije</w:t>
      </w:r>
      <w:r w:rsidR="00352A1C">
        <w:rPr>
          <w:sz w:val="24"/>
          <w:szCs w:val="24"/>
          <w:lang w:val="sr-Latn-RS"/>
        </w:rPr>
        <w:t xml:space="preserve"> </w:t>
      </w:r>
      <w:r w:rsidR="00352A1C" w:rsidRPr="00790395">
        <w:rPr>
          <w:sz w:val="24"/>
          <w:szCs w:val="24"/>
          <w:lang w:val="sr-Latn-RS"/>
        </w:rPr>
        <w:t>(470.000 osoba)</w:t>
      </w:r>
      <w:r w:rsidRPr="00790395">
        <w:rPr>
          <w:sz w:val="24"/>
          <w:szCs w:val="24"/>
          <w:lang w:val="sr-Latn-RS"/>
        </w:rPr>
        <w:t xml:space="preserve"> živi u apsolutnom siromaštvu</w:t>
      </w:r>
      <w:r w:rsidR="002C0A38">
        <w:rPr>
          <w:sz w:val="24"/>
          <w:szCs w:val="24"/>
          <w:lang w:val="sr-Latn-RS"/>
        </w:rPr>
        <w:t xml:space="preserve"> i </w:t>
      </w:r>
      <w:r w:rsidRPr="00790395">
        <w:rPr>
          <w:sz w:val="24"/>
          <w:szCs w:val="24"/>
          <w:lang w:val="sr-Latn-RS"/>
        </w:rPr>
        <w:t>ne može da zadovolji osnovne životne potrebe – 6,9% građana Republike Srbije troši manje od 12.695 dinara (oko 100 evra)</w:t>
      </w:r>
      <w:r w:rsidR="00E745E1" w:rsidRPr="00790395">
        <w:rPr>
          <w:sz w:val="24"/>
          <w:szCs w:val="24"/>
          <w:lang w:val="sr-Latn-RS"/>
        </w:rPr>
        <w:t xml:space="preserve"> mesečno</w:t>
      </w:r>
      <w:r w:rsidR="00DF23AE" w:rsidRPr="00790395">
        <w:rPr>
          <w:sz w:val="24"/>
          <w:szCs w:val="24"/>
          <w:lang w:val="sr-Latn-RS"/>
        </w:rPr>
        <w:t xml:space="preserve"> po potrošačkoj jedinici.</w:t>
      </w:r>
      <w:r w:rsidR="00DF23AE" w:rsidRPr="00790395">
        <w:rPr>
          <w:sz w:val="24"/>
          <w:szCs w:val="24"/>
          <w:vertAlign w:val="superscript"/>
          <w:lang w:val="sr-Latn-RS"/>
        </w:rPr>
        <w:footnoteReference w:id="34"/>
      </w:r>
      <w:r w:rsidR="00DF23AE" w:rsidRPr="00790395">
        <w:rPr>
          <w:sz w:val="24"/>
          <w:szCs w:val="24"/>
          <w:lang w:val="sr-Latn-RS"/>
        </w:rPr>
        <w:t xml:space="preserve"> Siromaštvo je značajno prostranjenije u ruralnim sredinama</w:t>
      </w:r>
      <w:r w:rsidR="002C0A38">
        <w:rPr>
          <w:sz w:val="24"/>
          <w:szCs w:val="24"/>
          <w:lang w:val="sr-Latn-RS"/>
        </w:rPr>
        <w:t xml:space="preserve"> i </w:t>
      </w:r>
      <w:r w:rsidR="00DF23AE" w:rsidRPr="00790395">
        <w:rPr>
          <w:sz w:val="24"/>
          <w:szCs w:val="24"/>
          <w:lang w:val="sr-Latn-RS"/>
        </w:rPr>
        <w:t xml:space="preserve">među osobama sa </w:t>
      </w:r>
      <w:r w:rsidR="00DF23AE" w:rsidRPr="00790395">
        <w:rPr>
          <w:sz w:val="24"/>
          <w:szCs w:val="24"/>
          <w:lang w:val="sr-Latn-RS"/>
        </w:rPr>
        <w:lastRenderedPageBreak/>
        <w:t>nižim stepenom obrazovanja, osobama izvan tržišta rada, ili domaćinstvima koja broje više od šest članova. Međutim, Zakon o socijalnoj zaštiti</w:t>
      </w:r>
      <w:r w:rsidR="00206D8B" w:rsidRPr="00790395">
        <w:rPr>
          <w:sz w:val="24"/>
          <w:szCs w:val="24"/>
          <w:vertAlign w:val="superscript"/>
          <w:lang w:val="sr-Latn-RS"/>
        </w:rPr>
        <w:footnoteReference w:id="35"/>
      </w:r>
      <w:r w:rsidR="002C0A38">
        <w:rPr>
          <w:sz w:val="24"/>
          <w:szCs w:val="24"/>
          <w:lang w:val="sr-Latn-RS"/>
        </w:rPr>
        <w:t xml:space="preserve"> i </w:t>
      </w:r>
      <w:r w:rsidR="00206D8B" w:rsidRPr="00790395">
        <w:rPr>
          <w:sz w:val="24"/>
          <w:szCs w:val="24"/>
          <w:lang w:val="sr-Latn-RS"/>
        </w:rPr>
        <w:t>Zakon o finansijskoj podršci porodici sa decom</w:t>
      </w:r>
      <w:r w:rsidR="00206D8B" w:rsidRPr="00790395">
        <w:rPr>
          <w:sz w:val="24"/>
          <w:szCs w:val="24"/>
          <w:vertAlign w:val="superscript"/>
          <w:lang w:val="sr-Latn-RS"/>
        </w:rPr>
        <w:footnoteReference w:id="36"/>
      </w:r>
      <w:r w:rsidR="00206D8B" w:rsidRPr="00790395">
        <w:rPr>
          <w:sz w:val="24"/>
          <w:szCs w:val="24"/>
          <w:lang w:val="sr-Latn-RS"/>
        </w:rPr>
        <w:t xml:space="preserve"> predviđaju ograničenja socijalnih davanja za porodice. Članom 88. Zakona o socijalnoj zaštiti propisano je da se porodicama sa više od šest članova ne mogu obezbediti socijalna davanja za više od šest članova, dok Zakon o finansijskoj </w:t>
      </w:r>
      <w:r w:rsidR="00A404D4" w:rsidRPr="00790395">
        <w:rPr>
          <w:sz w:val="24"/>
          <w:szCs w:val="24"/>
          <w:lang w:val="sr-Latn-RS"/>
        </w:rPr>
        <w:t>podršci</w:t>
      </w:r>
      <w:r w:rsidR="00206D8B" w:rsidRPr="00790395">
        <w:rPr>
          <w:sz w:val="24"/>
          <w:szCs w:val="24"/>
          <w:lang w:val="sr-Latn-RS"/>
        </w:rPr>
        <w:t xml:space="preserve"> porodici sa decom propisuje slična ograničenja prilikom regulisanja dečijeg</w:t>
      </w:r>
      <w:r w:rsidR="002C0A38">
        <w:rPr>
          <w:sz w:val="24"/>
          <w:szCs w:val="24"/>
          <w:lang w:val="sr-Latn-RS"/>
        </w:rPr>
        <w:t xml:space="preserve"> i </w:t>
      </w:r>
      <w:r w:rsidR="00206D8B" w:rsidRPr="00790395">
        <w:rPr>
          <w:sz w:val="24"/>
          <w:szCs w:val="24"/>
          <w:lang w:val="sr-Latn-RS"/>
        </w:rPr>
        <w:t>roditeljskog dodatka.</w:t>
      </w:r>
      <w:r w:rsidR="00A404D4" w:rsidRPr="00790395">
        <w:rPr>
          <w:sz w:val="24"/>
          <w:szCs w:val="24"/>
          <w:lang w:val="sr-Latn-RS"/>
        </w:rPr>
        <w:t xml:space="preserve"> Sa druge strane, podaci Republičkog zavoda za statistiku Srbije sa prethodnog </w:t>
      </w:r>
      <w:r w:rsidR="00924491">
        <w:rPr>
          <w:sz w:val="24"/>
          <w:szCs w:val="24"/>
          <w:lang w:val="sr-Latn-RS"/>
        </w:rPr>
        <w:t>popisa</w:t>
      </w:r>
      <w:r w:rsidR="00A404D4" w:rsidRPr="00790395">
        <w:rPr>
          <w:sz w:val="24"/>
          <w:szCs w:val="24"/>
          <w:lang w:val="sr-Latn-RS"/>
        </w:rPr>
        <w:t xml:space="preserve"> sprovedenog 2011. godine</w:t>
      </w:r>
      <w:r w:rsidR="00453019" w:rsidRPr="00790395">
        <w:rPr>
          <w:sz w:val="24"/>
          <w:szCs w:val="24"/>
          <w:lang w:val="sr-Latn-RS"/>
        </w:rPr>
        <w:t xml:space="preserve"> ukazuju na to da u Srbiji ima samo 5.264 porodice koje broje petoro ili više dece.</w:t>
      </w:r>
      <w:r w:rsidR="00453019" w:rsidRPr="00790395">
        <w:rPr>
          <w:sz w:val="24"/>
          <w:szCs w:val="24"/>
          <w:vertAlign w:val="superscript"/>
          <w:lang w:val="sr-Latn-RS"/>
        </w:rPr>
        <w:footnoteReference w:id="37"/>
      </w:r>
      <w:r w:rsidR="00453019" w:rsidRPr="00790395">
        <w:rPr>
          <w:sz w:val="24"/>
          <w:szCs w:val="24"/>
          <w:lang w:val="sr-Latn-RS"/>
        </w:rPr>
        <w:t xml:space="preserve"> Pored toga, barem jedno od roditelja u 1.719 porodica je navelo da su Romi. </w:t>
      </w:r>
      <w:r w:rsidR="002A7A28" w:rsidRPr="00790395">
        <w:rPr>
          <w:sz w:val="24"/>
          <w:szCs w:val="24"/>
          <w:lang w:val="sr-Latn-RS"/>
        </w:rPr>
        <w:t xml:space="preserve">U čak 782 porodice među nabrojenim je barem jedno od roditelja nepismeno, dok </w:t>
      </w:r>
      <w:r w:rsidR="005E0767">
        <w:rPr>
          <w:sz w:val="24"/>
          <w:szCs w:val="24"/>
          <w:lang w:val="sr-Latn-RS"/>
        </w:rPr>
        <w:t>u</w:t>
      </w:r>
      <w:r w:rsidR="002A7A28" w:rsidRPr="00790395">
        <w:rPr>
          <w:sz w:val="24"/>
          <w:szCs w:val="24"/>
          <w:lang w:val="sr-Latn-RS"/>
        </w:rPr>
        <w:t xml:space="preserve"> 1.024 porodice oba roditelja nemaju školsko obrazovanje ili su završila najviše tri razreda osnovne škole.</w:t>
      </w:r>
      <w:r w:rsidR="002A7A28" w:rsidRPr="00790395">
        <w:rPr>
          <w:sz w:val="24"/>
          <w:szCs w:val="24"/>
          <w:vertAlign w:val="superscript"/>
          <w:lang w:val="sr-Latn-RS"/>
        </w:rPr>
        <w:footnoteReference w:id="38"/>
      </w:r>
    </w:p>
    <w:p w14:paraId="06AA7D8D" w14:textId="3063A012" w:rsidR="009B3885" w:rsidRPr="00790395" w:rsidRDefault="002A7A28" w:rsidP="00627234">
      <w:pPr>
        <w:numPr>
          <w:ilvl w:val="0"/>
          <w:numId w:val="3"/>
        </w:numPr>
        <w:spacing w:before="100" w:beforeAutospacing="1" w:after="100" w:afterAutospacing="1" w:line="240" w:lineRule="auto"/>
        <w:ind w:left="0" w:firstLine="0"/>
        <w:jc w:val="both"/>
        <w:rPr>
          <w:lang w:val="sr-Latn-RS"/>
        </w:rPr>
      </w:pPr>
      <w:r w:rsidRPr="00790395">
        <w:rPr>
          <w:sz w:val="24"/>
          <w:szCs w:val="24"/>
          <w:lang w:val="sr-Latn-RS"/>
        </w:rPr>
        <w:t xml:space="preserve">Republički zavod za statistiku Srbije je 2020. godine </w:t>
      </w:r>
      <w:r w:rsidR="005E0767">
        <w:rPr>
          <w:sz w:val="24"/>
          <w:szCs w:val="24"/>
          <w:lang w:val="sr-Latn-RS"/>
        </w:rPr>
        <w:t>izvestio</w:t>
      </w:r>
      <w:r w:rsidRPr="00790395">
        <w:rPr>
          <w:sz w:val="24"/>
          <w:szCs w:val="24"/>
          <w:lang w:val="sr-Latn-RS"/>
        </w:rPr>
        <w:t xml:space="preserve"> da je stopa osoba u riziku od siromaštva 21,7%, što čini nekih 1.500.000 građana.</w:t>
      </w:r>
      <w:r w:rsidR="008C0DA0" w:rsidRPr="00790395">
        <w:rPr>
          <w:sz w:val="24"/>
          <w:szCs w:val="24"/>
          <w:vertAlign w:val="superscript"/>
          <w:lang w:val="sr-Latn-RS"/>
        </w:rPr>
        <w:footnoteReference w:id="39"/>
      </w:r>
      <w:r w:rsidR="008C0DA0" w:rsidRPr="00790395">
        <w:rPr>
          <w:sz w:val="24"/>
          <w:szCs w:val="24"/>
          <w:lang w:val="sr-Latn-RS"/>
        </w:rPr>
        <w:t xml:space="preserve"> </w:t>
      </w:r>
      <w:r w:rsidR="006860A6" w:rsidRPr="00790395">
        <w:rPr>
          <w:sz w:val="24"/>
          <w:szCs w:val="24"/>
          <w:lang w:val="sr-Latn-RS"/>
        </w:rPr>
        <w:t>Službeni podaci takođe otkrivaju da je ukupna stopa nezaposlenosti u Srbiji oko 11,1%</w:t>
      </w:r>
      <w:r w:rsidR="008C0DA0" w:rsidRPr="00790395">
        <w:rPr>
          <w:sz w:val="24"/>
          <w:szCs w:val="24"/>
          <w:lang w:val="sr-Latn-RS"/>
        </w:rPr>
        <w:t>.</w:t>
      </w:r>
      <w:r w:rsidR="008C0DA0" w:rsidRPr="00790395">
        <w:rPr>
          <w:sz w:val="24"/>
          <w:szCs w:val="24"/>
          <w:vertAlign w:val="superscript"/>
          <w:lang w:val="sr-Latn-RS"/>
        </w:rPr>
        <w:footnoteReference w:id="40"/>
      </w:r>
      <w:r w:rsidR="008C0DA0" w:rsidRPr="00790395">
        <w:rPr>
          <w:sz w:val="24"/>
          <w:szCs w:val="24"/>
          <w:lang w:val="sr-Latn-RS"/>
        </w:rPr>
        <w:t xml:space="preserve"> </w:t>
      </w:r>
      <w:r w:rsidR="006860A6" w:rsidRPr="00790395">
        <w:rPr>
          <w:sz w:val="24"/>
          <w:szCs w:val="24"/>
          <w:lang w:val="sr-Latn-RS"/>
        </w:rPr>
        <w:t>Minimalna plata iznosi 298 evra, a čak</w:t>
      </w:r>
      <w:r w:rsidR="002C0A38">
        <w:rPr>
          <w:sz w:val="24"/>
          <w:szCs w:val="24"/>
          <w:lang w:val="sr-Latn-RS"/>
        </w:rPr>
        <w:t xml:space="preserve"> i </w:t>
      </w:r>
      <w:r w:rsidR="006860A6" w:rsidRPr="00790395">
        <w:rPr>
          <w:sz w:val="24"/>
          <w:szCs w:val="24"/>
          <w:lang w:val="sr-Latn-RS"/>
        </w:rPr>
        <w:t xml:space="preserve">nominalnim </w:t>
      </w:r>
      <w:r w:rsidR="006860A6" w:rsidRPr="00340A03">
        <w:rPr>
          <w:sz w:val="24"/>
          <w:szCs w:val="24"/>
          <w:lang w:val="sr-Latn-RS"/>
        </w:rPr>
        <w:t>povećanjem od 9</w:t>
      </w:r>
      <w:r w:rsidR="00340A03" w:rsidRPr="00340A03">
        <w:rPr>
          <w:sz w:val="24"/>
          <w:szCs w:val="24"/>
          <w:lang w:val="sr-Latn-RS"/>
        </w:rPr>
        <w:t>,</w:t>
      </w:r>
      <w:r w:rsidR="006860A6" w:rsidRPr="00340A03">
        <w:rPr>
          <w:sz w:val="24"/>
          <w:szCs w:val="24"/>
          <w:lang w:val="sr-Latn-RS"/>
        </w:rPr>
        <w:t>4% nije</w:t>
      </w:r>
      <w:r w:rsidR="006860A6" w:rsidRPr="00790395">
        <w:rPr>
          <w:sz w:val="24"/>
          <w:szCs w:val="24"/>
          <w:lang w:val="sr-Latn-RS"/>
        </w:rPr>
        <w:t xml:space="preserve"> dostigao nivo minimalne potrošačke korpe</w:t>
      </w:r>
      <w:r w:rsidR="008C0DA0" w:rsidRPr="00790395">
        <w:rPr>
          <w:sz w:val="24"/>
          <w:szCs w:val="24"/>
          <w:lang w:val="sr-Latn-RS"/>
        </w:rPr>
        <w:t>.</w:t>
      </w:r>
      <w:r w:rsidR="006860A6" w:rsidRPr="00790395">
        <w:rPr>
          <w:sz w:val="24"/>
          <w:szCs w:val="24"/>
          <w:lang w:val="sr-Latn-RS"/>
        </w:rPr>
        <w:t xml:space="preserve"> Ginijev koeficijent iznosi 35,6 (jeda</w:t>
      </w:r>
      <w:r w:rsidR="005E0767">
        <w:rPr>
          <w:sz w:val="24"/>
          <w:szCs w:val="24"/>
          <w:lang w:val="sr-Latn-RS"/>
        </w:rPr>
        <w:t>n</w:t>
      </w:r>
      <w:r w:rsidR="006860A6" w:rsidRPr="00790395">
        <w:rPr>
          <w:sz w:val="24"/>
          <w:szCs w:val="24"/>
          <w:lang w:val="sr-Latn-RS"/>
        </w:rPr>
        <w:t xml:space="preserve"> od najviših u Evropi</w:t>
      </w:r>
      <w:r w:rsidR="005E0767">
        <w:rPr>
          <w:sz w:val="24"/>
          <w:szCs w:val="24"/>
          <w:lang w:val="sr-Latn-RS"/>
        </w:rPr>
        <w:t>)</w:t>
      </w:r>
      <w:r w:rsidR="006860A6" w:rsidRPr="00790395">
        <w:rPr>
          <w:sz w:val="24"/>
          <w:szCs w:val="24"/>
          <w:lang w:val="sr-Latn-RS"/>
        </w:rPr>
        <w:t>, prema poslednjim SILC (2018) podacima.</w:t>
      </w:r>
      <w:r w:rsidR="008C0DA0" w:rsidRPr="00790395">
        <w:rPr>
          <w:sz w:val="24"/>
          <w:szCs w:val="24"/>
          <w:lang w:val="sr-Latn-RS"/>
        </w:rPr>
        <w:t xml:space="preserve"> </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7"/>
        <w:gridCol w:w="959"/>
        <w:gridCol w:w="960"/>
        <w:gridCol w:w="960"/>
        <w:gridCol w:w="960"/>
        <w:gridCol w:w="960"/>
        <w:gridCol w:w="960"/>
        <w:gridCol w:w="960"/>
        <w:gridCol w:w="960"/>
      </w:tblGrid>
      <w:tr w:rsidR="009B3885" w:rsidRPr="00790395" w14:paraId="15EA7950" w14:textId="77777777">
        <w:trPr>
          <w:trHeight w:val="826"/>
        </w:trPr>
        <w:tc>
          <w:tcPr>
            <w:tcW w:w="1337" w:type="dxa"/>
          </w:tcPr>
          <w:p w14:paraId="559F3E5F" w14:textId="4C91D2CC" w:rsidR="009B3885" w:rsidRPr="00790395" w:rsidRDefault="006860A6" w:rsidP="00627234">
            <w:pPr>
              <w:spacing w:before="100" w:beforeAutospacing="1" w:after="100" w:afterAutospacing="1"/>
              <w:jc w:val="both"/>
              <w:rPr>
                <w:b/>
                <w:lang w:val="sr-Latn-RS"/>
              </w:rPr>
            </w:pPr>
            <w:r w:rsidRPr="00790395">
              <w:rPr>
                <w:b/>
                <w:lang w:val="sr-Latn-RS"/>
              </w:rPr>
              <w:t>Godina</w:t>
            </w:r>
            <w:r w:rsidR="008C0DA0" w:rsidRPr="00790395">
              <w:rPr>
                <w:b/>
                <w:lang w:val="sr-Latn-RS"/>
              </w:rPr>
              <w:t xml:space="preserve"> </w:t>
            </w:r>
          </w:p>
        </w:tc>
        <w:tc>
          <w:tcPr>
            <w:tcW w:w="959" w:type="dxa"/>
          </w:tcPr>
          <w:p w14:paraId="5928AC89" w14:textId="77777777" w:rsidR="009B3885" w:rsidRPr="00790395" w:rsidRDefault="008C0DA0" w:rsidP="00627234">
            <w:pPr>
              <w:spacing w:before="100" w:beforeAutospacing="1" w:after="100" w:afterAutospacing="1"/>
              <w:jc w:val="both"/>
              <w:rPr>
                <w:b/>
                <w:lang w:val="sr-Latn-RS"/>
              </w:rPr>
            </w:pPr>
            <w:r w:rsidRPr="00790395">
              <w:rPr>
                <w:b/>
                <w:lang w:val="sr-Latn-RS"/>
              </w:rPr>
              <w:t xml:space="preserve">2013 </w:t>
            </w:r>
          </w:p>
        </w:tc>
        <w:tc>
          <w:tcPr>
            <w:tcW w:w="960" w:type="dxa"/>
          </w:tcPr>
          <w:p w14:paraId="086FDE70" w14:textId="77777777" w:rsidR="009B3885" w:rsidRPr="00790395" w:rsidRDefault="008C0DA0" w:rsidP="00627234">
            <w:pPr>
              <w:spacing w:before="100" w:beforeAutospacing="1" w:after="100" w:afterAutospacing="1"/>
              <w:jc w:val="both"/>
              <w:rPr>
                <w:b/>
                <w:lang w:val="sr-Latn-RS"/>
              </w:rPr>
            </w:pPr>
            <w:r w:rsidRPr="00790395">
              <w:rPr>
                <w:b/>
                <w:lang w:val="sr-Latn-RS"/>
              </w:rPr>
              <w:t>2014</w:t>
            </w:r>
          </w:p>
        </w:tc>
        <w:tc>
          <w:tcPr>
            <w:tcW w:w="960" w:type="dxa"/>
          </w:tcPr>
          <w:p w14:paraId="46B519EC" w14:textId="77777777" w:rsidR="009B3885" w:rsidRPr="00790395" w:rsidRDefault="008C0DA0" w:rsidP="00627234">
            <w:pPr>
              <w:spacing w:before="100" w:beforeAutospacing="1" w:after="100" w:afterAutospacing="1"/>
              <w:jc w:val="both"/>
              <w:rPr>
                <w:b/>
                <w:lang w:val="sr-Latn-RS"/>
              </w:rPr>
            </w:pPr>
            <w:r w:rsidRPr="00790395">
              <w:rPr>
                <w:b/>
                <w:lang w:val="sr-Latn-RS"/>
              </w:rPr>
              <w:t>2015</w:t>
            </w:r>
          </w:p>
        </w:tc>
        <w:tc>
          <w:tcPr>
            <w:tcW w:w="960" w:type="dxa"/>
          </w:tcPr>
          <w:p w14:paraId="2CB04528" w14:textId="77777777" w:rsidR="009B3885" w:rsidRPr="00790395" w:rsidRDefault="008C0DA0" w:rsidP="00627234">
            <w:pPr>
              <w:spacing w:before="100" w:beforeAutospacing="1" w:after="100" w:afterAutospacing="1"/>
              <w:jc w:val="both"/>
              <w:rPr>
                <w:b/>
                <w:lang w:val="sr-Latn-RS"/>
              </w:rPr>
            </w:pPr>
            <w:r w:rsidRPr="00790395">
              <w:rPr>
                <w:b/>
                <w:lang w:val="sr-Latn-RS"/>
              </w:rPr>
              <w:t>2016</w:t>
            </w:r>
          </w:p>
        </w:tc>
        <w:tc>
          <w:tcPr>
            <w:tcW w:w="960" w:type="dxa"/>
          </w:tcPr>
          <w:p w14:paraId="0159E1E2" w14:textId="77777777" w:rsidR="009B3885" w:rsidRPr="00790395" w:rsidRDefault="008C0DA0" w:rsidP="00627234">
            <w:pPr>
              <w:spacing w:before="100" w:beforeAutospacing="1" w:after="100" w:afterAutospacing="1"/>
              <w:jc w:val="both"/>
              <w:rPr>
                <w:b/>
                <w:lang w:val="sr-Latn-RS"/>
              </w:rPr>
            </w:pPr>
            <w:r w:rsidRPr="00790395">
              <w:rPr>
                <w:b/>
                <w:lang w:val="sr-Latn-RS"/>
              </w:rPr>
              <w:t>2017</w:t>
            </w:r>
          </w:p>
        </w:tc>
        <w:tc>
          <w:tcPr>
            <w:tcW w:w="960" w:type="dxa"/>
          </w:tcPr>
          <w:p w14:paraId="703B401D" w14:textId="77777777" w:rsidR="009B3885" w:rsidRPr="00790395" w:rsidRDefault="008C0DA0" w:rsidP="00627234">
            <w:pPr>
              <w:spacing w:before="100" w:beforeAutospacing="1" w:after="100" w:afterAutospacing="1"/>
              <w:jc w:val="both"/>
              <w:rPr>
                <w:b/>
                <w:lang w:val="sr-Latn-RS"/>
              </w:rPr>
            </w:pPr>
            <w:r w:rsidRPr="00790395">
              <w:rPr>
                <w:b/>
                <w:lang w:val="sr-Latn-RS"/>
              </w:rPr>
              <w:t>2018</w:t>
            </w:r>
          </w:p>
        </w:tc>
        <w:tc>
          <w:tcPr>
            <w:tcW w:w="960" w:type="dxa"/>
          </w:tcPr>
          <w:p w14:paraId="2C178E66" w14:textId="77777777" w:rsidR="009B3885" w:rsidRPr="00790395" w:rsidRDefault="008C0DA0" w:rsidP="00627234">
            <w:pPr>
              <w:spacing w:before="100" w:beforeAutospacing="1" w:after="100" w:afterAutospacing="1"/>
              <w:ind w:right="30"/>
              <w:jc w:val="both"/>
              <w:rPr>
                <w:b/>
                <w:lang w:val="sr-Latn-RS"/>
              </w:rPr>
            </w:pPr>
            <w:r w:rsidRPr="00790395">
              <w:rPr>
                <w:b/>
                <w:lang w:val="sr-Latn-RS"/>
              </w:rPr>
              <w:t>2019</w:t>
            </w:r>
          </w:p>
        </w:tc>
        <w:tc>
          <w:tcPr>
            <w:tcW w:w="960" w:type="dxa"/>
          </w:tcPr>
          <w:p w14:paraId="1EBEB9CC" w14:textId="77777777" w:rsidR="009B3885" w:rsidRPr="00790395" w:rsidRDefault="008C0DA0" w:rsidP="00627234">
            <w:pPr>
              <w:spacing w:before="100" w:beforeAutospacing="1" w:after="100" w:afterAutospacing="1"/>
              <w:jc w:val="both"/>
              <w:rPr>
                <w:b/>
                <w:lang w:val="sr-Latn-RS"/>
              </w:rPr>
            </w:pPr>
            <w:r w:rsidRPr="00790395">
              <w:rPr>
                <w:b/>
                <w:lang w:val="sr-Latn-RS"/>
              </w:rPr>
              <w:t>2020</w:t>
            </w:r>
          </w:p>
        </w:tc>
      </w:tr>
      <w:tr w:rsidR="009B3885" w:rsidRPr="00790395" w14:paraId="54D30B41" w14:textId="77777777">
        <w:trPr>
          <w:trHeight w:val="826"/>
        </w:trPr>
        <w:tc>
          <w:tcPr>
            <w:tcW w:w="1337" w:type="dxa"/>
          </w:tcPr>
          <w:p w14:paraId="5F3CC05C" w14:textId="5B590645" w:rsidR="009B3885" w:rsidRPr="00790395" w:rsidRDefault="006860A6" w:rsidP="00627234">
            <w:pPr>
              <w:spacing w:before="100" w:beforeAutospacing="1" w:after="100" w:afterAutospacing="1"/>
              <w:jc w:val="both"/>
              <w:rPr>
                <w:b/>
                <w:lang w:val="sr-Latn-RS"/>
              </w:rPr>
            </w:pPr>
            <w:r w:rsidRPr="00790395">
              <w:rPr>
                <w:b/>
                <w:lang w:val="sr-Latn-RS"/>
              </w:rPr>
              <w:t>Procenat siromašnih</w:t>
            </w:r>
          </w:p>
        </w:tc>
        <w:tc>
          <w:tcPr>
            <w:tcW w:w="959" w:type="dxa"/>
          </w:tcPr>
          <w:p w14:paraId="38AC8282" w14:textId="77777777" w:rsidR="009B3885" w:rsidRPr="00790395" w:rsidRDefault="008C0DA0" w:rsidP="00627234">
            <w:pPr>
              <w:spacing w:before="100" w:beforeAutospacing="1" w:after="100" w:afterAutospacing="1"/>
              <w:jc w:val="both"/>
              <w:rPr>
                <w:b/>
                <w:lang w:val="sr-Latn-RS"/>
              </w:rPr>
            </w:pPr>
            <w:r w:rsidRPr="00790395">
              <w:rPr>
                <w:b/>
                <w:lang w:val="sr-Latn-RS"/>
              </w:rPr>
              <w:t>7.4</w:t>
            </w:r>
          </w:p>
        </w:tc>
        <w:tc>
          <w:tcPr>
            <w:tcW w:w="960" w:type="dxa"/>
          </w:tcPr>
          <w:p w14:paraId="4D177D15" w14:textId="77777777" w:rsidR="009B3885" w:rsidRPr="00790395" w:rsidRDefault="008C0DA0" w:rsidP="00627234">
            <w:pPr>
              <w:spacing w:before="100" w:beforeAutospacing="1" w:after="100" w:afterAutospacing="1"/>
              <w:jc w:val="both"/>
              <w:rPr>
                <w:b/>
                <w:lang w:val="sr-Latn-RS"/>
              </w:rPr>
            </w:pPr>
            <w:r w:rsidRPr="00790395">
              <w:rPr>
                <w:b/>
                <w:lang w:val="sr-Latn-RS"/>
              </w:rPr>
              <w:t>7.6</w:t>
            </w:r>
          </w:p>
        </w:tc>
        <w:tc>
          <w:tcPr>
            <w:tcW w:w="960" w:type="dxa"/>
          </w:tcPr>
          <w:p w14:paraId="19266FE3" w14:textId="77777777" w:rsidR="009B3885" w:rsidRPr="00790395" w:rsidRDefault="008C0DA0" w:rsidP="00627234">
            <w:pPr>
              <w:spacing w:before="100" w:beforeAutospacing="1" w:after="100" w:afterAutospacing="1"/>
              <w:jc w:val="both"/>
              <w:rPr>
                <w:b/>
                <w:lang w:val="sr-Latn-RS"/>
              </w:rPr>
            </w:pPr>
            <w:r w:rsidRPr="00790395">
              <w:rPr>
                <w:b/>
                <w:lang w:val="sr-Latn-RS"/>
              </w:rPr>
              <w:t>7.4</w:t>
            </w:r>
          </w:p>
        </w:tc>
        <w:tc>
          <w:tcPr>
            <w:tcW w:w="960" w:type="dxa"/>
          </w:tcPr>
          <w:p w14:paraId="729F2876" w14:textId="77777777" w:rsidR="009B3885" w:rsidRPr="00790395" w:rsidRDefault="008C0DA0" w:rsidP="00627234">
            <w:pPr>
              <w:spacing w:before="100" w:beforeAutospacing="1" w:after="100" w:afterAutospacing="1"/>
              <w:jc w:val="both"/>
              <w:rPr>
                <w:b/>
                <w:lang w:val="sr-Latn-RS"/>
              </w:rPr>
            </w:pPr>
            <w:r w:rsidRPr="00790395">
              <w:rPr>
                <w:b/>
                <w:lang w:val="sr-Latn-RS"/>
              </w:rPr>
              <w:t xml:space="preserve">7.3 </w:t>
            </w:r>
          </w:p>
        </w:tc>
        <w:tc>
          <w:tcPr>
            <w:tcW w:w="960" w:type="dxa"/>
          </w:tcPr>
          <w:p w14:paraId="5EE01E44" w14:textId="77777777" w:rsidR="009B3885" w:rsidRPr="00790395" w:rsidRDefault="008C0DA0" w:rsidP="00627234">
            <w:pPr>
              <w:spacing w:before="100" w:beforeAutospacing="1" w:after="100" w:afterAutospacing="1"/>
              <w:jc w:val="both"/>
              <w:rPr>
                <w:b/>
                <w:lang w:val="sr-Latn-RS"/>
              </w:rPr>
            </w:pPr>
            <w:r w:rsidRPr="00790395">
              <w:rPr>
                <w:b/>
                <w:lang w:val="sr-Latn-RS"/>
              </w:rPr>
              <w:t>7.2</w:t>
            </w:r>
          </w:p>
        </w:tc>
        <w:tc>
          <w:tcPr>
            <w:tcW w:w="960" w:type="dxa"/>
          </w:tcPr>
          <w:p w14:paraId="56F60A04" w14:textId="77777777" w:rsidR="009B3885" w:rsidRPr="00790395" w:rsidRDefault="008C0DA0" w:rsidP="00627234">
            <w:pPr>
              <w:spacing w:before="100" w:beforeAutospacing="1" w:after="100" w:afterAutospacing="1"/>
              <w:jc w:val="both"/>
              <w:rPr>
                <w:b/>
                <w:lang w:val="sr-Latn-RS"/>
              </w:rPr>
            </w:pPr>
            <w:r w:rsidRPr="00790395">
              <w:rPr>
                <w:b/>
                <w:lang w:val="sr-Latn-RS"/>
              </w:rPr>
              <w:t>7.1</w:t>
            </w:r>
          </w:p>
        </w:tc>
        <w:tc>
          <w:tcPr>
            <w:tcW w:w="960" w:type="dxa"/>
          </w:tcPr>
          <w:p w14:paraId="37EB2A33" w14:textId="77777777" w:rsidR="009B3885" w:rsidRPr="00790395" w:rsidRDefault="008C0DA0" w:rsidP="00627234">
            <w:pPr>
              <w:spacing w:before="100" w:beforeAutospacing="1" w:after="100" w:afterAutospacing="1"/>
              <w:jc w:val="both"/>
              <w:rPr>
                <w:b/>
                <w:lang w:val="sr-Latn-RS"/>
              </w:rPr>
            </w:pPr>
            <w:r w:rsidRPr="00790395">
              <w:rPr>
                <w:b/>
                <w:lang w:val="sr-Latn-RS"/>
              </w:rPr>
              <w:t>7.0</w:t>
            </w:r>
          </w:p>
        </w:tc>
        <w:tc>
          <w:tcPr>
            <w:tcW w:w="960" w:type="dxa"/>
          </w:tcPr>
          <w:p w14:paraId="53BEABD6" w14:textId="77777777" w:rsidR="009B3885" w:rsidRPr="00790395" w:rsidRDefault="008C0DA0" w:rsidP="00627234">
            <w:pPr>
              <w:spacing w:before="100" w:beforeAutospacing="1" w:after="100" w:afterAutospacing="1"/>
              <w:jc w:val="both"/>
              <w:rPr>
                <w:b/>
                <w:lang w:val="sr-Latn-RS"/>
              </w:rPr>
            </w:pPr>
            <w:r w:rsidRPr="00790395">
              <w:rPr>
                <w:b/>
                <w:lang w:val="sr-Latn-RS"/>
              </w:rPr>
              <w:t>6.9</w:t>
            </w:r>
          </w:p>
        </w:tc>
      </w:tr>
    </w:tbl>
    <w:p w14:paraId="3F63A6A3" w14:textId="07C34B58" w:rsidR="009B3885" w:rsidRPr="00924491" w:rsidRDefault="00BF2C89" w:rsidP="00924491">
      <w:pPr>
        <w:pStyle w:val="NoSpacing"/>
        <w:rPr>
          <w:sz w:val="24"/>
          <w:szCs w:val="24"/>
          <w:lang w:val="sr-Latn-RS"/>
        </w:rPr>
      </w:pPr>
      <w:r w:rsidRPr="00924491">
        <w:rPr>
          <w:b/>
          <w:bCs/>
          <w:sz w:val="24"/>
          <w:szCs w:val="24"/>
          <w:lang w:val="sr-Latn-RS"/>
        </w:rPr>
        <w:t>Tabela</w:t>
      </w:r>
      <w:r w:rsidR="008C0DA0" w:rsidRPr="00924491">
        <w:rPr>
          <w:b/>
          <w:bCs/>
          <w:sz w:val="24"/>
          <w:szCs w:val="24"/>
          <w:lang w:val="sr-Latn-RS"/>
        </w:rPr>
        <w:t xml:space="preserve"> </w:t>
      </w:r>
      <w:r w:rsidR="00B961C6" w:rsidRPr="00924491">
        <w:rPr>
          <w:b/>
          <w:bCs/>
          <w:sz w:val="24"/>
          <w:szCs w:val="24"/>
          <w:lang w:val="sr-Latn-RS"/>
        </w:rPr>
        <w:t>4</w:t>
      </w:r>
      <w:r w:rsidR="008C0DA0" w:rsidRPr="00924491">
        <w:rPr>
          <w:b/>
          <w:bCs/>
          <w:sz w:val="24"/>
          <w:szCs w:val="24"/>
          <w:lang w:val="sr-Latn-RS"/>
        </w:rPr>
        <w:t>:</w:t>
      </w:r>
      <w:r w:rsidR="008C0DA0" w:rsidRPr="00924491">
        <w:rPr>
          <w:sz w:val="24"/>
          <w:szCs w:val="24"/>
          <w:lang w:val="sr-Latn-RS"/>
        </w:rPr>
        <w:t xml:space="preserve"> </w:t>
      </w:r>
      <w:r w:rsidRPr="00924491">
        <w:rPr>
          <w:sz w:val="24"/>
          <w:szCs w:val="24"/>
          <w:lang w:val="sr-Latn-RS"/>
        </w:rPr>
        <w:t>Procenat siromašnih među opštom populacijom u Srbiji</w:t>
      </w:r>
      <w:r w:rsidR="008C0DA0" w:rsidRPr="00924491">
        <w:rPr>
          <w:sz w:val="24"/>
          <w:szCs w:val="24"/>
          <w:lang w:val="sr-Latn-RS"/>
        </w:rPr>
        <w:t xml:space="preserve"> </w:t>
      </w:r>
    </w:p>
    <w:p w14:paraId="78B75730" w14:textId="503CEB68" w:rsidR="00444209" w:rsidRPr="00790395" w:rsidRDefault="00BF2C89" w:rsidP="00444209">
      <w:pPr>
        <w:numPr>
          <w:ilvl w:val="0"/>
          <w:numId w:val="3"/>
        </w:numPr>
        <w:spacing w:before="100" w:beforeAutospacing="1" w:after="100" w:afterAutospacing="1" w:line="240" w:lineRule="auto"/>
        <w:ind w:left="0" w:firstLine="0"/>
        <w:jc w:val="both"/>
        <w:rPr>
          <w:sz w:val="24"/>
          <w:szCs w:val="24"/>
          <w:lang w:val="sr-Latn-RS"/>
        </w:rPr>
      </w:pPr>
      <w:r w:rsidRPr="00790395">
        <w:rPr>
          <w:b/>
          <w:sz w:val="24"/>
          <w:szCs w:val="24"/>
          <w:lang w:val="sr-Latn-RS"/>
        </w:rPr>
        <w:t>Srbija ne ispunjava obavezu da koristi maksimum raspoloživih sredstava u svrhu progresivne realizacije</w:t>
      </w:r>
      <w:r w:rsidR="00B77437" w:rsidRPr="00790395">
        <w:rPr>
          <w:b/>
          <w:sz w:val="24"/>
          <w:szCs w:val="24"/>
          <w:lang w:val="sr-Latn-RS"/>
        </w:rPr>
        <w:t xml:space="preserve"> prava na socijalnu zaštitu. </w:t>
      </w:r>
      <w:r w:rsidR="008C0DA0" w:rsidRPr="00790395">
        <w:rPr>
          <w:sz w:val="24"/>
          <w:szCs w:val="24"/>
          <w:lang w:val="sr-Latn-RS"/>
        </w:rPr>
        <w:t>T</w:t>
      </w:r>
      <w:r w:rsidR="00B77437" w:rsidRPr="00790395">
        <w:rPr>
          <w:sz w:val="24"/>
          <w:szCs w:val="24"/>
          <w:lang w:val="sr-Latn-RS"/>
        </w:rPr>
        <w:t>o podrazumeva nedovoljna finansijska izdvajanja za socijalnu zaštitu, nedostatak javnih politika usmerenih na progresivnu realizaciju prava na socijalnu zaštitu,</w:t>
      </w:r>
      <w:r w:rsidR="002C0A38">
        <w:rPr>
          <w:sz w:val="24"/>
          <w:szCs w:val="24"/>
          <w:lang w:val="sr-Latn-RS"/>
        </w:rPr>
        <w:t xml:space="preserve"> i </w:t>
      </w:r>
      <w:r w:rsidR="00B77437" w:rsidRPr="00790395">
        <w:rPr>
          <w:sz w:val="24"/>
          <w:szCs w:val="24"/>
          <w:lang w:val="sr-Latn-RS"/>
        </w:rPr>
        <w:t>nedovoljnu mobilizaciju pomoći međunarodnih donatora. Još od 2015. godine ne postoji</w:t>
      </w:r>
      <w:r w:rsidR="00BA0C0A" w:rsidRPr="00790395">
        <w:rPr>
          <w:sz w:val="24"/>
          <w:szCs w:val="24"/>
          <w:lang w:val="sr-Latn-RS"/>
        </w:rPr>
        <w:t xml:space="preserve"> politika</w:t>
      </w:r>
      <w:r w:rsidR="00B77437" w:rsidRPr="00790395">
        <w:rPr>
          <w:sz w:val="24"/>
          <w:szCs w:val="24"/>
          <w:lang w:val="sr-Latn-RS"/>
        </w:rPr>
        <w:t xml:space="preserve"> </w:t>
      </w:r>
      <w:r w:rsidR="00BA0C0A" w:rsidRPr="00790395">
        <w:rPr>
          <w:sz w:val="24"/>
          <w:szCs w:val="24"/>
          <w:lang w:val="sr-Latn-RS"/>
        </w:rPr>
        <w:t>za</w:t>
      </w:r>
      <w:r w:rsidR="00B77437" w:rsidRPr="00790395">
        <w:rPr>
          <w:sz w:val="24"/>
          <w:szCs w:val="24"/>
          <w:lang w:val="sr-Latn-RS"/>
        </w:rPr>
        <w:t xml:space="preserve"> smanjenja siromaštva</w:t>
      </w:r>
      <w:r w:rsidR="002C0A38">
        <w:rPr>
          <w:sz w:val="24"/>
          <w:szCs w:val="24"/>
          <w:lang w:val="sr-Latn-RS"/>
        </w:rPr>
        <w:t xml:space="preserve"> i </w:t>
      </w:r>
      <w:r w:rsidR="00BA0C0A" w:rsidRPr="00790395">
        <w:rPr>
          <w:sz w:val="24"/>
          <w:szCs w:val="24"/>
          <w:lang w:val="sr-Latn-RS"/>
        </w:rPr>
        <w:t>socijalno uključivanje, dok su pripreme za usvajanje Strategije socijalne zaštite obustavljene 2019. godine.</w:t>
      </w:r>
      <w:r w:rsidR="00BA0C0A" w:rsidRPr="00790395">
        <w:rPr>
          <w:sz w:val="24"/>
          <w:szCs w:val="24"/>
          <w:vertAlign w:val="superscript"/>
          <w:lang w:val="sr-Latn-RS"/>
        </w:rPr>
        <w:footnoteReference w:id="41"/>
      </w:r>
      <w:r w:rsidR="00BA0C0A" w:rsidRPr="00790395">
        <w:rPr>
          <w:sz w:val="24"/>
          <w:szCs w:val="24"/>
          <w:lang w:val="sr-Latn-RS"/>
        </w:rPr>
        <w:t xml:space="preserve"> Pored nedostatka javnih politika koje se tiču smanjenja siromaštva</w:t>
      </w:r>
      <w:r w:rsidR="002C0A38">
        <w:rPr>
          <w:sz w:val="24"/>
          <w:szCs w:val="24"/>
          <w:lang w:val="sr-Latn-RS"/>
        </w:rPr>
        <w:t xml:space="preserve"> i </w:t>
      </w:r>
      <w:r w:rsidR="00BA0C0A" w:rsidRPr="00790395">
        <w:rPr>
          <w:sz w:val="24"/>
          <w:szCs w:val="24"/>
          <w:lang w:val="sr-Latn-RS"/>
        </w:rPr>
        <w:t xml:space="preserve">socijalnog uključivanja, </w:t>
      </w:r>
      <w:r w:rsidR="00BA0C0A" w:rsidRPr="00790395">
        <w:rPr>
          <w:b/>
          <w:bCs/>
          <w:sz w:val="24"/>
          <w:szCs w:val="24"/>
          <w:lang w:val="sr-Latn-RS"/>
        </w:rPr>
        <w:t>institucionalni kapaciteti za socijalno uključivanje</w:t>
      </w:r>
      <w:r w:rsidR="002C0A38">
        <w:rPr>
          <w:b/>
          <w:bCs/>
          <w:sz w:val="24"/>
          <w:szCs w:val="24"/>
          <w:lang w:val="sr-Latn-RS"/>
        </w:rPr>
        <w:t xml:space="preserve"> i </w:t>
      </w:r>
      <w:r w:rsidR="00BA0C0A" w:rsidRPr="00790395">
        <w:rPr>
          <w:b/>
          <w:bCs/>
          <w:sz w:val="24"/>
          <w:szCs w:val="24"/>
          <w:lang w:val="sr-Latn-RS"/>
        </w:rPr>
        <w:t>smanjenje siromaštva opadaju</w:t>
      </w:r>
      <w:r w:rsidR="00BA0C0A" w:rsidRPr="00790395">
        <w:rPr>
          <w:sz w:val="24"/>
          <w:szCs w:val="24"/>
          <w:lang w:val="sr-Latn-RS"/>
        </w:rPr>
        <w:t>. Vlada Republike Srbije je 2009. godine osnovala Tim za socijalno uključivanje</w:t>
      </w:r>
      <w:r w:rsidR="002C0A38">
        <w:rPr>
          <w:sz w:val="24"/>
          <w:szCs w:val="24"/>
          <w:lang w:val="sr-Latn-RS"/>
        </w:rPr>
        <w:t xml:space="preserve"> i </w:t>
      </w:r>
      <w:r w:rsidR="00BA0C0A" w:rsidRPr="00790395">
        <w:rPr>
          <w:sz w:val="24"/>
          <w:szCs w:val="24"/>
          <w:lang w:val="sr-Latn-RS"/>
        </w:rPr>
        <w:t>smanjenje siromaštva (SIPRU),</w:t>
      </w:r>
      <w:r w:rsidR="00BA0C0A" w:rsidRPr="00790395">
        <w:rPr>
          <w:color w:val="323232"/>
          <w:sz w:val="24"/>
          <w:szCs w:val="24"/>
          <w:vertAlign w:val="superscript"/>
          <w:lang w:val="sr-Latn-RS"/>
        </w:rPr>
        <w:footnoteReference w:id="42"/>
      </w:r>
      <w:r w:rsidR="002C0A38">
        <w:rPr>
          <w:sz w:val="24"/>
          <w:szCs w:val="24"/>
          <w:lang w:val="sr-Latn-RS"/>
        </w:rPr>
        <w:t xml:space="preserve"> i </w:t>
      </w:r>
      <w:r w:rsidR="0043538B" w:rsidRPr="00790395">
        <w:rPr>
          <w:sz w:val="24"/>
          <w:szCs w:val="24"/>
          <w:lang w:val="sr-Latn-RS"/>
        </w:rPr>
        <w:t xml:space="preserve">centralno ga pozicionirala u </w:t>
      </w:r>
      <w:r w:rsidR="00BA0C0A" w:rsidRPr="00790395">
        <w:rPr>
          <w:sz w:val="24"/>
          <w:szCs w:val="24"/>
          <w:lang w:val="sr-Latn-RS"/>
        </w:rPr>
        <w:t>Vlad</w:t>
      </w:r>
      <w:r w:rsidR="0043538B" w:rsidRPr="00790395">
        <w:rPr>
          <w:sz w:val="24"/>
          <w:szCs w:val="24"/>
          <w:lang w:val="sr-Latn-RS"/>
        </w:rPr>
        <w:t>i</w:t>
      </w:r>
      <w:r w:rsidR="00BA0C0A" w:rsidRPr="00790395">
        <w:rPr>
          <w:sz w:val="24"/>
          <w:szCs w:val="24"/>
          <w:lang w:val="sr-Latn-RS"/>
        </w:rPr>
        <w:t xml:space="preserve">, a od 2018. godine ovo telo funkcioniše u okviru </w:t>
      </w:r>
      <w:r w:rsidR="00444209" w:rsidRPr="00790395">
        <w:rPr>
          <w:sz w:val="24"/>
          <w:szCs w:val="24"/>
          <w:lang w:val="sr-Latn-RS"/>
        </w:rPr>
        <w:t>kabineta predsednice Vlade</w:t>
      </w:r>
      <w:r w:rsidR="00BA0C0A" w:rsidRPr="00790395">
        <w:rPr>
          <w:sz w:val="24"/>
          <w:szCs w:val="24"/>
          <w:lang w:val="sr-Latn-RS"/>
        </w:rPr>
        <w:t>. Mandat ove projektne jedinice, koja se finansira iz sredstava međunarodn</w:t>
      </w:r>
      <w:r w:rsidR="00DB7E3D" w:rsidRPr="00790395">
        <w:rPr>
          <w:sz w:val="24"/>
          <w:szCs w:val="24"/>
          <w:lang w:val="sr-Latn-RS"/>
        </w:rPr>
        <w:t xml:space="preserve">ih organizacija, je bio da ojača kapacitete Vlade da razvija politike </w:t>
      </w:r>
      <w:r w:rsidR="0043538B" w:rsidRPr="00790395">
        <w:rPr>
          <w:sz w:val="24"/>
          <w:szCs w:val="24"/>
          <w:lang w:val="sr-Latn-RS"/>
        </w:rPr>
        <w:t>socijalnog uključivanja zasnovane na podacima,</w:t>
      </w:r>
      <w:r w:rsidR="002C0A38">
        <w:rPr>
          <w:sz w:val="24"/>
          <w:szCs w:val="24"/>
          <w:lang w:val="sr-Latn-RS"/>
        </w:rPr>
        <w:t xml:space="preserve"> i </w:t>
      </w:r>
      <w:r w:rsidR="0043538B" w:rsidRPr="00790395">
        <w:rPr>
          <w:sz w:val="24"/>
          <w:szCs w:val="24"/>
          <w:lang w:val="sr-Latn-RS"/>
        </w:rPr>
        <w:t>da koordiniše</w:t>
      </w:r>
      <w:r w:rsidR="002C0A38">
        <w:rPr>
          <w:sz w:val="24"/>
          <w:szCs w:val="24"/>
          <w:lang w:val="sr-Latn-RS"/>
        </w:rPr>
        <w:t xml:space="preserve"> i </w:t>
      </w:r>
      <w:r w:rsidR="0043538B" w:rsidRPr="00790395">
        <w:rPr>
          <w:sz w:val="24"/>
          <w:szCs w:val="24"/>
          <w:lang w:val="sr-Latn-RS"/>
        </w:rPr>
        <w:t xml:space="preserve">nadgleda njihovu primenu. Međutim, </w:t>
      </w:r>
      <w:r w:rsidR="00444209" w:rsidRPr="00790395">
        <w:rPr>
          <w:sz w:val="24"/>
          <w:szCs w:val="24"/>
          <w:lang w:val="sr-Latn-RS"/>
        </w:rPr>
        <w:lastRenderedPageBreak/>
        <w:t>ova projektna jedinica je raspuštena 31. decembra 2021. godine, kada je istekao projekat kojim je finansiran njen rad, a Vlada je obustavila finansiranje.</w:t>
      </w:r>
      <w:r w:rsidR="00444209" w:rsidRPr="00790395">
        <w:rPr>
          <w:color w:val="323232"/>
          <w:sz w:val="24"/>
          <w:szCs w:val="24"/>
          <w:vertAlign w:val="superscript"/>
          <w:lang w:val="sr-Latn-RS"/>
        </w:rPr>
        <w:footnoteReference w:id="43"/>
      </w:r>
    </w:p>
    <w:p w14:paraId="0A9A818F" w14:textId="0CD8F312" w:rsidR="00B77437" w:rsidRPr="00790395" w:rsidRDefault="00444209" w:rsidP="00627234">
      <w:pPr>
        <w:numPr>
          <w:ilvl w:val="0"/>
          <w:numId w:val="3"/>
        </w:numPr>
        <w:spacing w:before="100" w:beforeAutospacing="1" w:after="100" w:afterAutospacing="1" w:line="240" w:lineRule="auto"/>
        <w:ind w:left="0" w:firstLine="0"/>
        <w:jc w:val="both"/>
        <w:rPr>
          <w:sz w:val="24"/>
          <w:szCs w:val="24"/>
          <w:lang w:val="sr-Latn-RS"/>
        </w:rPr>
      </w:pPr>
      <w:r w:rsidRPr="00790395">
        <w:rPr>
          <w:sz w:val="24"/>
          <w:szCs w:val="24"/>
          <w:lang w:val="sr-Latn-RS"/>
        </w:rPr>
        <w:t>Od  2014. godine kapaciteti centara za socijalni rad</w:t>
      </w:r>
      <w:r w:rsidR="00465F45" w:rsidRPr="00790395">
        <w:rPr>
          <w:sz w:val="24"/>
          <w:szCs w:val="24"/>
          <w:lang w:val="sr-Latn-RS"/>
        </w:rPr>
        <w:t xml:space="preserve"> (CSR)</w:t>
      </w:r>
      <w:r w:rsidRPr="00790395">
        <w:rPr>
          <w:sz w:val="24"/>
          <w:szCs w:val="24"/>
          <w:lang w:val="sr-Latn-RS"/>
        </w:rPr>
        <w:t>, ključnih institucija odgovornih za socijalnu zaštitu na lokalnom nivou, se umanjuju, a ukupna stopa zapošljavanja službenika se umanjila za 18% u periodu od 2014. – 2020. godine.</w:t>
      </w:r>
      <w:r w:rsidRPr="00790395">
        <w:rPr>
          <w:sz w:val="24"/>
          <w:szCs w:val="24"/>
          <w:vertAlign w:val="superscript"/>
          <w:lang w:val="sr-Latn-RS"/>
        </w:rPr>
        <w:footnoteReference w:id="44"/>
      </w:r>
      <w:r w:rsidRPr="00790395">
        <w:rPr>
          <w:sz w:val="24"/>
          <w:szCs w:val="24"/>
          <w:lang w:val="sr-Latn-RS"/>
        </w:rPr>
        <w:t xml:space="preserve"> U isto vreme, profesionalni </w:t>
      </w:r>
      <w:r w:rsidR="005E0767">
        <w:rPr>
          <w:sz w:val="24"/>
          <w:szCs w:val="24"/>
          <w:lang w:val="sr-Latn-RS"/>
        </w:rPr>
        <w:t>obuka</w:t>
      </w:r>
      <w:r w:rsidR="002C0A38">
        <w:rPr>
          <w:sz w:val="24"/>
          <w:szCs w:val="24"/>
          <w:lang w:val="sr-Latn-RS"/>
        </w:rPr>
        <w:t xml:space="preserve"> i </w:t>
      </w:r>
      <w:r w:rsidRPr="00790395">
        <w:rPr>
          <w:sz w:val="24"/>
          <w:szCs w:val="24"/>
          <w:lang w:val="sr-Latn-RS"/>
        </w:rPr>
        <w:t xml:space="preserve">dizanje kapaciteta </w:t>
      </w:r>
      <w:r w:rsidR="005E0767">
        <w:rPr>
          <w:sz w:val="24"/>
          <w:szCs w:val="24"/>
          <w:lang w:val="sr-Latn-RS"/>
        </w:rPr>
        <w:t>je umanjeno</w:t>
      </w:r>
      <w:r w:rsidRPr="00790395">
        <w:rPr>
          <w:sz w:val="24"/>
          <w:szCs w:val="24"/>
          <w:lang w:val="sr-Latn-RS"/>
        </w:rPr>
        <w:t xml:space="preserve"> za 52,9% između 2019.</w:t>
      </w:r>
      <w:r w:rsidR="002C0A38">
        <w:rPr>
          <w:sz w:val="24"/>
          <w:szCs w:val="24"/>
          <w:lang w:val="sr-Latn-RS"/>
        </w:rPr>
        <w:t xml:space="preserve"> i </w:t>
      </w:r>
      <w:r w:rsidRPr="00790395">
        <w:rPr>
          <w:sz w:val="24"/>
          <w:szCs w:val="24"/>
          <w:lang w:val="sr-Latn-RS"/>
        </w:rPr>
        <w:t>2020. godine.</w:t>
      </w:r>
      <w:r w:rsidRPr="00790395">
        <w:rPr>
          <w:sz w:val="24"/>
          <w:szCs w:val="24"/>
          <w:vertAlign w:val="superscript"/>
          <w:lang w:val="sr-Latn-RS"/>
        </w:rPr>
        <w:footnoteReference w:id="45"/>
      </w:r>
    </w:p>
    <w:p w14:paraId="1AA977BE" w14:textId="77777777" w:rsidR="009B3885" w:rsidRPr="00790395" w:rsidRDefault="008C0DA0" w:rsidP="005E0767">
      <w:pPr>
        <w:spacing w:before="100" w:beforeAutospacing="1" w:after="100" w:afterAutospacing="1" w:line="240" w:lineRule="auto"/>
        <w:rPr>
          <w:sz w:val="24"/>
          <w:szCs w:val="24"/>
          <w:lang w:val="sr-Latn-RS"/>
        </w:rPr>
      </w:pPr>
      <w:r w:rsidRPr="00790395">
        <w:rPr>
          <w:noProof/>
          <w:sz w:val="24"/>
          <w:szCs w:val="24"/>
          <w:lang w:val="sr-Latn-RS" w:eastAsia="en-GB"/>
        </w:rPr>
        <w:drawing>
          <wp:inline distT="114300" distB="114300" distL="114300" distR="114300" wp14:anchorId="147EF540" wp14:editId="4C110F77">
            <wp:extent cx="5684520" cy="173736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684520" cy="1737360"/>
                    </a:xfrm>
                    <a:prstGeom prst="rect">
                      <a:avLst/>
                    </a:prstGeom>
                    <a:ln/>
                  </pic:spPr>
                </pic:pic>
              </a:graphicData>
            </a:graphic>
          </wp:inline>
        </w:drawing>
      </w:r>
    </w:p>
    <w:p w14:paraId="726366F9" w14:textId="1BBA8D7C" w:rsidR="009B3885" w:rsidRPr="00924491" w:rsidRDefault="008C0DA0" w:rsidP="00924491">
      <w:pPr>
        <w:pStyle w:val="NoSpacing"/>
        <w:rPr>
          <w:sz w:val="24"/>
          <w:szCs w:val="24"/>
          <w:lang w:val="sr-Latn-RS"/>
        </w:rPr>
      </w:pPr>
      <w:r w:rsidRPr="00924491">
        <w:rPr>
          <w:b/>
          <w:bCs/>
          <w:sz w:val="24"/>
          <w:szCs w:val="24"/>
          <w:lang w:val="sr-Latn-RS"/>
        </w:rPr>
        <w:t>Gra</w:t>
      </w:r>
      <w:r w:rsidR="00444209" w:rsidRPr="00924491">
        <w:rPr>
          <w:b/>
          <w:bCs/>
          <w:sz w:val="24"/>
          <w:szCs w:val="24"/>
          <w:lang w:val="sr-Latn-RS"/>
        </w:rPr>
        <w:t>fikon</w:t>
      </w:r>
      <w:r w:rsidRPr="00924491">
        <w:rPr>
          <w:b/>
          <w:bCs/>
          <w:sz w:val="24"/>
          <w:szCs w:val="24"/>
          <w:lang w:val="sr-Latn-RS"/>
        </w:rPr>
        <w:t xml:space="preserve"> 2:</w:t>
      </w:r>
      <w:r w:rsidRPr="00924491">
        <w:rPr>
          <w:sz w:val="24"/>
          <w:szCs w:val="24"/>
          <w:lang w:val="sr-Latn-RS"/>
        </w:rPr>
        <w:t xml:space="preserve"> </w:t>
      </w:r>
      <w:r w:rsidR="00444209" w:rsidRPr="00924491">
        <w:rPr>
          <w:sz w:val="24"/>
          <w:szCs w:val="24"/>
          <w:lang w:val="sr-Latn-RS"/>
        </w:rPr>
        <w:t>Broj zaposlenih na neodređeno vreme</w:t>
      </w:r>
      <w:r w:rsidRPr="00924491">
        <w:rPr>
          <w:sz w:val="24"/>
          <w:szCs w:val="24"/>
          <w:lang w:val="sr-Latn-RS"/>
        </w:rPr>
        <w:t>, 2011</w:t>
      </w:r>
      <w:r w:rsidR="00444209" w:rsidRPr="00924491">
        <w:rPr>
          <w:sz w:val="24"/>
          <w:szCs w:val="24"/>
          <w:lang w:val="sr-Latn-RS"/>
        </w:rPr>
        <w:t>.</w:t>
      </w:r>
      <w:r w:rsidRPr="00924491">
        <w:rPr>
          <w:sz w:val="24"/>
          <w:szCs w:val="24"/>
          <w:lang w:val="sr-Latn-RS"/>
        </w:rPr>
        <w:t xml:space="preserve"> </w:t>
      </w:r>
      <w:r w:rsidR="00444209" w:rsidRPr="00924491">
        <w:rPr>
          <w:sz w:val="24"/>
          <w:szCs w:val="24"/>
          <w:lang w:val="sr-Latn-RS"/>
        </w:rPr>
        <w:t>–</w:t>
      </w:r>
      <w:r w:rsidRPr="00924491">
        <w:rPr>
          <w:sz w:val="24"/>
          <w:szCs w:val="24"/>
          <w:lang w:val="sr-Latn-RS"/>
        </w:rPr>
        <w:t xml:space="preserve"> 2020</w:t>
      </w:r>
      <w:r w:rsidR="00444209" w:rsidRPr="00924491">
        <w:rPr>
          <w:sz w:val="24"/>
          <w:szCs w:val="24"/>
          <w:lang w:val="sr-Latn-RS"/>
        </w:rPr>
        <w:t>. godine</w:t>
      </w:r>
    </w:p>
    <w:p w14:paraId="3DDD6B37" w14:textId="034A85DB" w:rsidR="00D06744" w:rsidRPr="00924491" w:rsidRDefault="008C0DA0" w:rsidP="00924491">
      <w:pPr>
        <w:pStyle w:val="NoSpacing"/>
        <w:rPr>
          <w:sz w:val="24"/>
          <w:szCs w:val="24"/>
          <w:lang w:val="sr-Latn-RS"/>
        </w:rPr>
      </w:pPr>
      <w:r w:rsidRPr="00924491">
        <w:rPr>
          <w:sz w:val="24"/>
          <w:szCs w:val="24"/>
          <w:lang w:val="sr-Latn-RS"/>
        </w:rPr>
        <w:t>(</w:t>
      </w:r>
      <w:r w:rsidR="00444209" w:rsidRPr="00924491">
        <w:rPr>
          <w:sz w:val="24"/>
          <w:szCs w:val="24"/>
          <w:lang w:val="sr-Latn-RS"/>
        </w:rPr>
        <w:t>Izvor</w:t>
      </w:r>
      <w:r w:rsidRPr="00924491">
        <w:rPr>
          <w:sz w:val="24"/>
          <w:szCs w:val="24"/>
          <w:lang w:val="sr-Latn-RS"/>
        </w:rPr>
        <w:t xml:space="preserve">: </w:t>
      </w:r>
      <w:r w:rsidR="00444209" w:rsidRPr="00924491">
        <w:rPr>
          <w:sz w:val="24"/>
          <w:szCs w:val="24"/>
          <w:lang w:val="sr-Latn-RS"/>
        </w:rPr>
        <w:t>Republički zavod za socijalnu zaštit</w:t>
      </w:r>
      <w:r w:rsidR="00352A1C" w:rsidRPr="00924491">
        <w:rPr>
          <w:sz w:val="24"/>
          <w:szCs w:val="24"/>
          <w:lang w:val="sr-Latn-RS"/>
        </w:rPr>
        <w:t>u</w:t>
      </w:r>
      <w:r w:rsidR="00444209" w:rsidRPr="00924491">
        <w:rPr>
          <w:sz w:val="24"/>
          <w:szCs w:val="24"/>
          <w:lang w:val="sr-Latn-RS"/>
        </w:rPr>
        <w:t>, Izveštaj, 2020. godina</w:t>
      </w:r>
      <w:r w:rsidRPr="00924491">
        <w:rPr>
          <w:sz w:val="24"/>
          <w:szCs w:val="24"/>
          <w:lang w:val="sr-Latn-RS"/>
        </w:rPr>
        <w:t>)</w:t>
      </w:r>
    </w:p>
    <w:p w14:paraId="32B9FA0F" w14:textId="60C35B11" w:rsidR="00465F45" w:rsidRPr="00790395" w:rsidRDefault="00444209" w:rsidP="00627234">
      <w:pPr>
        <w:numPr>
          <w:ilvl w:val="0"/>
          <w:numId w:val="3"/>
        </w:numPr>
        <w:spacing w:before="100" w:beforeAutospacing="1" w:after="100" w:afterAutospacing="1" w:line="240" w:lineRule="auto"/>
        <w:ind w:left="0" w:firstLine="0"/>
        <w:jc w:val="both"/>
        <w:rPr>
          <w:lang w:val="sr-Latn-RS"/>
        </w:rPr>
      </w:pPr>
      <w:r w:rsidRPr="00790395">
        <w:rPr>
          <w:sz w:val="24"/>
          <w:szCs w:val="24"/>
          <w:lang w:val="sr-Latn-RS"/>
        </w:rPr>
        <w:t xml:space="preserve">Paralelno sa </w:t>
      </w:r>
      <w:r w:rsidR="005E0767">
        <w:rPr>
          <w:sz w:val="24"/>
          <w:szCs w:val="24"/>
          <w:lang w:val="sr-Latn-RS"/>
        </w:rPr>
        <w:t>smanjenjem</w:t>
      </w:r>
      <w:r w:rsidRPr="00790395">
        <w:rPr>
          <w:sz w:val="24"/>
          <w:szCs w:val="24"/>
          <w:lang w:val="sr-Latn-RS"/>
        </w:rPr>
        <w:t xml:space="preserve"> broja </w:t>
      </w:r>
      <w:r w:rsidR="00465F45" w:rsidRPr="00790395">
        <w:rPr>
          <w:sz w:val="24"/>
          <w:szCs w:val="24"/>
          <w:lang w:val="sr-Latn-RS"/>
        </w:rPr>
        <w:t>stručnjaka</w:t>
      </w:r>
      <w:r w:rsidRPr="00790395">
        <w:rPr>
          <w:sz w:val="24"/>
          <w:szCs w:val="24"/>
          <w:lang w:val="sr-Latn-RS"/>
        </w:rPr>
        <w:t xml:space="preserve"> zaposlenih u sistemu socijalne zaštite, </w:t>
      </w:r>
      <w:r w:rsidR="00465F45" w:rsidRPr="00790395">
        <w:rPr>
          <w:b/>
          <w:bCs/>
          <w:sz w:val="24"/>
          <w:szCs w:val="24"/>
          <w:lang w:val="sr-Latn-RS"/>
        </w:rPr>
        <w:t>broj korisnika CSR se uvećao za 23,5% od 2011. godine</w:t>
      </w:r>
      <w:r w:rsidR="00465F45" w:rsidRPr="00790395">
        <w:rPr>
          <w:sz w:val="24"/>
          <w:szCs w:val="24"/>
          <w:lang w:val="sr-Latn-RS"/>
        </w:rPr>
        <w:t>.</w:t>
      </w:r>
      <w:r w:rsidR="008C0DA0" w:rsidRPr="00790395">
        <w:rPr>
          <w:sz w:val="24"/>
          <w:szCs w:val="24"/>
          <w:vertAlign w:val="superscript"/>
          <w:lang w:val="sr-Latn-RS"/>
        </w:rPr>
        <w:footnoteReference w:id="46"/>
      </w:r>
      <w:r w:rsidR="008C0DA0" w:rsidRPr="00790395">
        <w:rPr>
          <w:sz w:val="24"/>
          <w:szCs w:val="24"/>
          <w:lang w:val="sr-Latn-RS"/>
        </w:rPr>
        <w:t xml:space="preserve"> </w:t>
      </w:r>
      <w:r w:rsidR="00465F45" w:rsidRPr="00790395">
        <w:rPr>
          <w:sz w:val="24"/>
          <w:szCs w:val="24"/>
          <w:lang w:val="sr-Latn-RS"/>
        </w:rPr>
        <w:t>Ovaj broj ne predstavlja broj ljudi u situaciji siromaštva</w:t>
      </w:r>
      <w:r w:rsidR="002C0A38">
        <w:rPr>
          <w:sz w:val="24"/>
          <w:szCs w:val="24"/>
          <w:lang w:val="sr-Latn-RS"/>
        </w:rPr>
        <w:t xml:space="preserve"> i </w:t>
      </w:r>
      <w:r w:rsidR="00465F45" w:rsidRPr="00790395">
        <w:rPr>
          <w:sz w:val="24"/>
          <w:szCs w:val="24"/>
          <w:lang w:val="sr-Latn-RS"/>
        </w:rPr>
        <w:t>kojima je potrebna socijalna zaštita, ali uključuje druge pojedince kojima su potrebne usluge CSR – uključujući u vezi sa brakorazvodnim postupcima, hraniteljstvom, usv</w:t>
      </w:r>
      <w:r w:rsidR="005E0767">
        <w:rPr>
          <w:sz w:val="24"/>
          <w:szCs w:val="24"/>
          <w:lang w:val="sr-Latn-RS"/>
        </w:rPr>
        <w:t>o</w:t>
      </w:r>
      <w:r w:rsidR="00465F45" w:rsidRPr="00790395">
        <w:rPr>
          <w:sz w:val="24"/>
          <w:szCs w:val="24"/>
          <w:lang w:val="sr-Latn-RS"/>
        </w:rPr>
        <w:t>j</w:t>
      </w:r>
      <w:r w:rsidR="005E0767">
        <w:rPr>
          <w:sz w:val="24"/>
          <w:szCs w:val="24"/>
          <w:lang w:val="sr-Latn-RS"/>
        </w:rPr>
        <w:t>e</w:t>
      </w:r>
      <w:r w:rsidR="00465F45" w:rsidRPr="00790395">
        <w:rPr>
          <w:sz w:val="24"/>
          <w:szCs w:val="24"/>
          <w:lang w:val="sr-Latn-RS"/>
        </w:rPr>
        <w:t>njem, seksualn</w:t>
      </w:r>
      <w:r w:rsidR="00174FCA">
        <w:rPr>
          <w:sz w:val="24"/>
          <w:szCs w:val="24"/>
          <w:lang w:val="sr-Latn-RS"/>
        </w:rPr>
        <w:t>im</w:t>
      </w:r>
      <w:r w:rsidR="002C0A38">
        <w:rPr>
          <w:sz w:val="24"/>
          <w:szCs w:val="24"/>
          <w:lang w:val="sr-Latn-RS"/>
        </w:rPr>
        <w:t xml:space="preserve"> i </w:t>
      </w:r>
      <w:r w:rsidR="00465F45" w:rsidRPr="00790395">
        <w:rPr>
          <w:sz w:val="24"/>
          <w:szCs w:val="24"/>
          <w:lang w:val="sr-Latn-RS"/>
        </w:rPr>
        <w:t>rodno zasnovan</w:t>
      </w:r>
      <w:r w:rsidR="005E0767">
        <w:rPr>
          <w:sz w:val="24"/>
          <w:szCs w:val="24"/>
          <w:lang w:val="sr-Latn-RS"/>
        </w:rPr>
        <w:t>i</w:t>
      </w:r>
      <w:r w:rsidR="00465F45" w:rsidRPr="00790395">
        <w:rPr>
          <w:sz w:val="24"/>
          <w:szCs w:val="24"/>
          <w:lang w:val="sr-Latn-RS"/>
        </w:rPr>
        <w:t>m nasiljem, dec</w:t>
      </w:r>
      <w:r w:rsidR="005E0767">
        <w:rPr>
          <w:sz w:val="24"/>
          <w:szCs w:val="24"/>
          <w:lang w:val="sr-Latn-RS"/>
        </w:rPr>
        <w:t>om</w:t>
      </w:r>
      <w:r w:rsidR="00465F45" w:rsidRPr="00790395">
        <w:rPr>
          <w:sz w:val="24"/>
          <w:szCs w:val="24"/>
          <w:lang w:val="sr-Latn-RS"/>
        </w:rPr>
        <w:t xml:space="preserve"> migrant</w:t>
      </w:r>
      <w:r w:rsidR="005E0767">
        <w:rPr>
          <w:sz w:val="24"/>
          <w:szCs w:val="24"/>
          <w:lang w:val="sr-Latn-RS"/>
        </w:rPr>
        <w:t>ima</w:t>
      </w:r>
      <w:r w:rsidR="00465F45" w:rsidRPr="00790395">
        <w:rPr>
          <w:sz w:val="24"/>
          <w:szCs w:val="24"/>
          <w:lang w:val="sr-Latn-RS"/>
        </w:rPr>
        <w:t xml:space="preserve"> bez pratnje, itd. Međutim, tako veliki stepen umanjenja broja stručnjaka zaposlenih u sistemu</w:t>
      </w:r>
      <w:r w:rsidR="002C0A38">
        <w:rPr>
          <w:sz w:val="24"/>
          <w:szCs w:val="24"/>
          <w:lang w:val="sr-Latn-RS"/>
        </w:rPr>
        <w:t xml:space="preserve"> i </w:t>
      </w:r>
      <w:r w:rsidR="00465F45" w:rsidRPr="00790395">
        <w:rPr>
          <w:sz w:val="24"/>
          <w:szCs w:val="24"/>
          <w:lang w:val="sr-Latn-RS"/>
        </w:rPr>
        <w:t>uvećanje broja pojedinaca u potrebi za socijalnom zaštitom ukazuje na trenutni nedostatak stručnih kapaciteta ovih institucija</w:t>
      </w:r>
      <w:r w:rsidR="002C0A38">
        <w:rPr>
          <w:sz w:val="24"/>
          <w:szCs w:val="24"/>
          <w:lang w:val="sr-Latn-RS"/>
        </w:rPr>
        <w:t xml:space="preserve"> i </w:t>
      </w:r>
      <w:r w:rsidR="00465F45" w:rsidRPr="00790395">
        <w:rPr>
          <w:sz w:val="24"/>
          <w:szCs w:val="24"/>
          <w:lang w:val="sr-Latn-RS"/>
        </w:rPr>
        <w:t xml:space="preserve">na potrebu za dodatnim ulaganjima u </w:t>
      </w:r>
      <w:r w:rsidR="00135201" w:rsidRPr="00790395">
        <w:rPr>
          <w:sz w:val="24"/>
          <w:szCs w:val="24"/>
          <w:lang w:val="sr-Latn-RS"/>
        </w:rPr>
        <w:t>sistem socijalne zaštite.</w:t>
      </w:r>
    </w:p>
    <w:p w14:paraId="7200D481" w14:textId="4F349A0D" w:rsidR="009B3885" w:rsidRPr="00790395" w:rsidRDefault="00135201" w:rsidP="00627234">
      <w:pPr>
        <w:pStyle w:val="Heading2"/>
        <w:spacing w:before="100" w:beforeAutospacing="1" w:after="100" w:afterAutospacing="1" w:line="240" w:lineRule="auto"/>
        <w:rPr>
          <w:b w:val="0"/>
          <w:bCs/>
          <w:sz w:val="24"/>
          <w:szCs w:val="24"/>
          <w:u w:val="single"/>
          <w:lang w:val="sr-Latn-RS"/>
        </w:rPr>
      </w:pPr>
      <w:bookmarkStart w:id="5" w:name="_Toc93689882"/>
      <w:r w:rsidRPr="00790395">
        <w:rPr>
          <w:b w:val="0"/>
          <w:bCs/>
          <w:sz w:val="24"/>
          <w:szCs w:val="24"/>
          <w:u w:val="single"/>
          <w:lang w:val="sr-Latn-RS"/>
        </w:rPr>
        <w:lastRenderedPageBreak/>
        <w:t>Nedovoljni iznosi socijalnih davanja</w:t>
      </w:r>
      <w:bookmarkEnd w:id="5"/>
    </w:p>
    <w:p w14:paraId="24E54270" w14:textId="26B024F2" w:rsidR="009B3885" w:rsidRPr="00790395" w:rsidRDefault="00AE1952" w:rsidP="00AE1952">
      <w:pPr>
        <w:numPr>
          <w:ilvl w:val="0"/>
          <w:numId w:val="3"/>
        </w:numPr>
        <w:spacing w:before="100" w:beforeAutospacing="1" w:after="100" w:afterAutospacing="1" w:line="240" w:lineRule="auto"/>
        <w:ind w:left="0" w:firstLine="0"/>
        <w:jc w:val="both"/>
        <w:rPr>
          <w:lang w:val="sr-Latn-RS"/>
        </w:rPr>
      </w:pPr>
      <w:r w:rsidRPr="00790395">
        <w:rPr>
          <w:noProof/>
          <w:sz w:val="24"/>
          <w:szCs w:val="24"/>
          <w:lang w:val="sr-Latn-RS" w:eastAsia="en-GB"/>
        </w:rPr>
        <w:drawing>
          <wp:anchor distT="0" distB="0" distL="114300" distR="114300" simplePos="0" relativeHeight="251663360" behindDoc="1" locked="0" layoutInCell="1" allowOverlap="1" wp14:anchorId="25187108" wp14:editId="40706AFF">
            <wp:simplePos x="0" y="0"/>
            <wp:positionH relativeFrom="margin">
              <wp:posOffset>0</wp:posOffset>
            </wp:positionH>
            <wp:positionV relativeFrom="paragraph">
              <wp:posOffset>1957241</wp:posOffset>
            </wp:positionV>
            <wp:extent cx="4160520" cy="2689518"/>
            <wp:effectExtent l="0" t="0" r="0" b="0"/>
            <wp:wrapSquare wrapText="bothSides"/>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4160520" cy="2689518"/>
                    </a:xfrm>
                    <a:prstGeom prst="rect">
                      <a:avLst/>
                    </a:prstGeom>
                    <a:ln/>
                  </pic:spPr>
                </pic:pic>
              </a:graphicData>
            </a:graphic>
            <wp14:sizeRelH relativeFrom="margin">
              <wp14:pctWidth>0</wp14:pctWidth>
            </wp14:sizeRelH>
            <wp14:sizeRelV relativeFrom="margin">
              <wp14:pctHeight>0</wp14:pctHeight>
            </wp14:sizeRelV>
          </wp:anchor>
        </w:drawing>
      </w:r>
      <w:r w:rsidR="00135201" w:rsidRPr="00790395">
        <w:rPr>
          <w:sz w:val="24"/>
          <w:szCs w:val="24"/>
          <w:lang w:val="sr-Latn-RS"/>
        </w:rPr>
        <w:t>Iznos novčane socijalne pomoći u Srbiji je nedovoljan za pokrivanje osnovnih troškova</w:t>
      </w:r>
      <w:r w:rsidR="002C0A38">
        <w:rPr>
          <w:sz w:val="24"/>
          <w:szCs w:val="24"/>
          <w:lang w:val="sr-Latn-RS"/>
        </w:rPr>
        <w:t xml:space="preserve"> i </w:t>
      </w:r>
      <w:r w:rsidR="00135201" w:rsidRPr="00790395">
        <w:rPr>
          <w:sz w:val="24"/>
          <w:szCs w:val="24"/>
          <w:lang w:val="sr-Latn-RS"/>
        </w:rPr>
        <w:t>iznosi oko 9.115 dinara (77,5 evra).</w:t>
      </w:r>
      <w:r w:rsidR="00135201" w:rsidRPr="00790395">
        <w:rPr>
          <w:sz w:val="24"/>
          <w:szCs w:val="24"/>
          <w:vertAlign w:val="superscript"/>
          <w:lang w:val="sr-Latn-RS"/>
        </w:rPr>
        <w:footnoteReference w:id="47"/>
      </w:r>
      <w:r w:rsidR="00135201" w:rsidRPr="00790395">
        <w:rPr>
          <w:sz w:val="24"/>
          <w:szCs w:val="24"/>
          <w:lang w:val="sr-Latn-RS"/>
        </w:rPr>
        <w:t xml:space="preserve"> Evropski komitet za socijalna prava je u svojim zaključnim zapažanjima za Srbiju iz 2018. godine naveo da je iznos socijalnih davanja na koje imaju pravo socijalno ugrožene osobe u Srbiji o</w:t>
      </w:r>
      <w:r w:rsidR="00800922">
        <w:rPr>
          <w:sz w:val="24"/>
          <w:szCs w:val="24"/>
          <w:lang w:val="sr-Latn-RS"/>
        </w:rPr>
        <w:t>č</w:t>
      </w:r>
      <w:r w:rsidR="00135201" w:rsidRPr="00790395">
        <w:rPr>
          <w:sz w:val="24"/>
          <w:szCs w:val="24"/>
          <w:lang w:val="sr-Latn-RS"/>
        </w:rPr>
        <w:t>igledno nedovoljan</w:t>
      </w:r>
      <w:r w:rsidR="002C0A38">
        <w:rPr>
          <w:sz w:val="24"/>
          <w:szCs w:val="24"/>
          <w:lang w:val="sr-Latn-RS"/>
        </w:rPr>
        <w:t xml:space="preserve"> i </w:t>
      </w:r>
      <w:r w:rsidR="00135201" w:rsidRPr="00790395">
        <w:rPr>
          <w:sz w:val="24"/>
          <w:szCs w:val="24"/>
          <w:lang w:val="sr-Latn-RS"/>
        </w:rPr>
        <w:t>da ne pre</w:t>
      </w:r>
      <w:r w:rsidR="00800922">
        <w:rPr>
          <w:sz w:val="24"/>
          <w:szCs w:val="24"/>
          <w:lang w:val="sr-Latn-RS"/>
        </w:rPr>
        <w:t>vazil</w:t>
      </w:r>
      <w:r w:rsidR="00135201" w:rsidRPr="00790395">
        <w:rPr>
          <w:sz w:val="24"/>
          <w:szCs w:val="24"/>
          <w:lang w:val="sr-Latn-RS"/>
        </w:rPr>
        <w:t xml:space="preserve">azi </w:t>
      </w:r>
      <w:r w:rsidR="00800922">
        <w:rPr>
          <w:sz w:val="24"/>
          <w:szCs w:val="24"/>
          <w:lang w:val="sr-Latn-RS"/>
        </w:rPr>
        <w:t>prag</w:t>
      </w:r>
      <w:r w:rsidR="00135201" w:rsidRPr="00790395">
        <w:rPr>
          <w:sz w:val="24"/>
          <w:szCs w:val="24"/>
          <w:lang w:val="sr-Latn-RS"/>
        </w:rPr>
        <w:t xml:space="preserve"> siromaštva.</w:t>
      </w:r>
      <w:r w:rsidR="00135201" w:rsidRPr="00790395">
        <w:rPr>
          <w:sz w:val="24"/>
          <w:szCs w:val="24"/>
          <w:vertAlign w:val="superscript"/>
          <w:lang w:val="sr-Latn-RS"/>
        </w:rPr>
        <w:footnoteReference w:id="48"/>
      </w:r>
      <w:r w:rsidR="00135201" w:rsidRPr="00790395">
        <w:rPr>
          <w:sz w:val="24"/>
          <w:szCs w:val="24"/>
          <w:lang w:val="sr-Latn-RS"/>
        </w:rPr>
        <w:t xml:space="preserve"> Pored toga, Zakon o socijalnoj zaštiti</w:t>
      </w:r>
      <w:r w:rsidR="002C0A38">
        <w:rPr>
          <w:sz w:val="24"/>
          <w:szCs w:val="24"/>
          <w:lang w:val="sr-Latn-RS"/>
        </w:rPr>
        <w:t xml:space="preserve"> i </w:t>
      </w:r>
      <w:r w:rsidR="00135201" w:rsidRPr="00790395">
        <w:rPr>
          <w:sz w:val="24"/>
          <w:szCs w:val="24"/>
          <w:lang w:val="sr-Latn-RS"/>
        </w:rPr>
        <w:t xml:space="preserve">dalje propisuje </w:t>
      </w:r>
      <w:r w:rsidRPr="00790395">
        <w:rPr>
          <w:sz w:val="24"/>
          <w:szCs w:val="24"/>
          <w:lang w:val="sr-Latn-RS"/>
        </w:rPr>
        <w:t>prekid u primanjima socijalne pomoći za većinu korisnika – onih koji se smatraju sposobnima za rad. Ovakvo rešenje je u očiglednoj suprotnosti sa zaključnim zapažanjima Komiteta u vezi sa prethodnim periodičnim izveštajem Srbije</w:t>
      </w:r>
      <w:r w:rsidRPr="00790395">
        <w:rPr>
          <w:sz w:val="24"/>
          <w:szCs w:val="24"/>
          <w:vertAlign w:val="superscript"/>
          <w:lang w:val="sr-Latn-RS"/>
        </w:rPr>
        <w:footnoteReference w:id="49"/>
      </w:r>
      <w:r w:rsidR="002C0A38">
        <w:rPr>
          <w:sz w:val="24"/>
          <w:szCs w:val="24"/>
          <w:lang w:val="sr-Latn-RS"/>
        </w:rPr>
        <w:t xml:space="preserve"> i </w:t>
      </w:r>
      <w:r w:rsidRPr="00790395">
        <w:rPr>
          <w:sz w:val="24"/>
          <w:szCs w:val="24"/>
          <w:lang w:val="sr-Latn-RS"/>
        </w:rPr>
        <w:t xml:space="preserve">sa članom 9 Pakta. Međutim, kada se govori o uvećanju iznosa socijalnih davanja, nadležna ministarstva redovno </w:t>
      </w:r>
      <w:r w:rsidR="00800922">
        <w:rPr>
          <w:sz w:val="24"/>
          <w:szCs w:val="24"/>
          <w:lang w:val="sr-Latn-RS"/>
        </w:rPr>
        <w:t>opravdavaju</w:t>
      </w:r>
      <w:r w:rsidRPr="00790395">
        <w:rPr>
          <w:sz w:val="24"/>
          <w:szCs w:val="24"/>
          <w:lang w:val="sr-Latn-RS"/>
        </w:rPr>
        <w:t xml:space="preserve"> nivo socijalnih davanja nedostatkom resursa.</w:t>
      </w:r>
      <w:r w:rsidR="008C0DA0" w:rsidRPr="00790395">
        <w:rPr>
          <w:sz w:val="24"/>
          <w:szCs w:val="24"/>
          <w:vertAlign w:val="superscript"/>
          <w:lang w:val="sr-Latn-RS"/>
        </w:rPr>
        <w:footnoteReference w:id="50"/>
      </w:r>
    </w:p>
    <w:p w14:paraId="0A3299FC" w14:textId="4742E020" w:rsidR="009B3885" w:rsidRPr="00790395" w:rsidRDefault="009B3885" w:rsidP="00627234">
      <w:pPr>
        <w:spacing w:before="100" w:beforeAutospacing="1" w:after="100" w:afterAutospacing="1" w:line="240" w:lineRule="auto"/>
        <w:jc w:val="both"/>
        <w:rPr>
          <w:sz w:val="24"/>
          <w:szCs w:val="24"/>
          <w:lang w:val="sr-Latn-RS"/>
        </w:rPr>
      </w:pPr>
    </w:p>
    <w:p w14:paraId="02BE982D" w14:textId="77777777" w:rsidR="00AE1952" w:rsidRPr="00790395" w:rsidRDefault="00AE1952" w:rsidP="00627234">
      <w:pPr>
        <w:pBdr>
          <w:top w:val="nil"/>
          <w:left w:val="nil"/>
          <w:bottom w:val="nil"/>
          <w:right w:val="nil"/>
          <w:between w:val="nil"/>
        </w:pBdr>
        <w:spacing w:before="100" w:beforeAutospacing="1" w:after="100" w:afterAutospacing="1" w:line="240" w:lineRule="auto"/>
        <w:jc w:val="both"/>
        <w:rPr>
          <w:b/>
          <w:sz w:val="24"/>
          <w:szCs w:val="24"/>
          <w:lang w:val="sr-Latn-RS"/>
        </w:rPr>
      </w:pPr>
    </w:p>
    <w:p w14:paraId="5249FD1C" w14:textId="2396F639" w:rsidR="002C67B3" w:rsidRPr="00174FCA" w:rsidRDefault="0055797E" w:rsidP="00627234">
      <w:pPr>
        <w:pBdr>
          <w:top w:val="nil"/>
          <w:left w:val="nil"/>
          <w:bottom w:val="nil"/>
          <w:right w:val="nil"/>
          <w:between w:val="nil"/>
        </w:pBdr>
        <w:spacing w:before="100" w:beforeAutospacing="1" w:after="100" w:afterAutospacing="1" w:line="240" w:lineRule="auto"/>
        <w:jc w:val="both"/>
        <w:rPr>
          <w:bCs/>
          <w:sz w:val="24"/>
          <w:szCs w:val="24"/>
          <w:lang w:val="sr-Latn-RS"/>
        </w:rPr>
      </w:pPr>
      <w:r w:rsidRPr="00790395">
        <w:rPr>
          <w:b/>
          <w:sz w:val="24"/>
          <w:szCs w:val="24"/>
          <w:lang w:val="sr-Latn-RS"/>
        </w:rPr>
        <w:t>Tabela</w:t>
      </w:r>
      <w:r w:rsidR="008C0DA0" w:rsidRPr="00790395">
        <w:rPr>
          <w:b/>
          <w:sz w:val="24"/>
          <w:szCs w:val="24"/>
          <w:lang w:val="sr-Latn-RS"/>
        </w:rPr>
        <w:t xml:space="preserve"> </w:t>
      </w:r>
      <w:r w:rsidR="00B961C6" w:rsidRPr="00790395">
        <w:rPr>
          <w:b/>
          <w:sz w:val="24"/>
          <w:szCs w:val="24"/>
          <w:lang w:val="sr-Latn-RS"/>
        </w:rPr>
        <w:t>5</w:t>
      </w:r>
      <w:r w:rsidR="008C0DA0" w:rsidRPr="00790395">
        <w:rPr>
          <w:b/>
          <w:sz w:val="24"/>
          <w:szCs w:val="24"/>
          <w:lang w:val="sr-Latn-RS"/>
        </w:rPr>
        <w:t xml:space="preserve">: </w:t>
      </w:r>
      <w:r w:rsidRPr="00174FCA">
        <w:rPr>
          <w:bCs/>
          <w:sz w:val="24"/>
          <w:szCs w:val="24"/>
          <w:lang w:val="sr-Latn-RS"/>
        </w:rPr>
        <w:t xml:space="preserve">Budžetska izdvajanja </w:t>
      </w:r>
      <w:r w:rsidR="0089251C" w:rsidRPr="00174FCA">
        <w:rPr>
          <w:bCs/>
          <w:sz w:val="24"/>
          <w:szCs w:val="24"/>
          <w:lang w:val="sr-Latn-RS"/>
        </w:rPr>
        <w:t>z</w:t>
      </w:r>
      <w:r w:rsidRPr="00174FCA">
        <w:rPr>
          <w:bCs/>
          <w:sz w:val="24"/>
          <w:szCs w:val="24"/>
          <w:lang w:val="sr-Latn-RS"/>
        </w:rPr>
        <w:t>a socijalnu zaštitu na nacionalnom nivou</w:t>
      </w:r>
      <w:r w:rsidR="0089251C" w:rsidRPr="00174FCA">
        <w:rPr>
          <w:bCs/>
          <w:sz w:val="24"/>
          <w:szCs w:val="24"/>
          <w:lang w:val="sr-Latn-RS"/>
        </w:rPr>
        <w:t>,</w:t>
      </w:r>
      <w:r w:rsidR="008C0DA0" w:rsidRPr="00174FCA">
        <w:rPr>
          <w:bCs/>
          <w:sz w:val="24"/>
          <w:szCs w:val="24"/>
          <w:lang w:val="sr-Latn-RS"/>
        </w:rPr>
        <w:t xml:space="preserve"> 2014</w:t>
      </w:r>
      <w:r w:rsidRPr="00174FCA">
        <w:rPr>
          <w:bCs/>
          <w:sz w:val="24"/>
          <w:szCs w:val="24"/>
          <w:lang w:val="sr-Latn-RS"/>
        </w:rPr>
        <w:t>.</w:t>
      </w:r>
      <w:r w:rsidR="008C0DA0" w:rsidRPr="00174FCA">
        <w:rPr>
          <w:bCs/>
          <w:sz w:val="24"/>
          <w:szCs w:val="24"/>
          <w:lang w:val="sr-Latn-RS"/>
        </w:rPr>
        <w:t xml:space="preserve"> </w:t>
      </w:r>
      <w:r w:rsidR="00B961C6" w:rsidRPr="00174FCA">
        <w:rPr>
          <w:bCs/>
          <w:sz w:val="24"/>
          <w:szCs w:val="24"/>
          <w:lang w:val="sr-Latn-RS"/>
        </w:rPr>
        <w:t>–</w:t>
      </w:r>
      <w:r w:rsidR="008C0DA0" w:rsidRPr="00174FCA">
        <w:rPr>
          <w:bCs/>
          <w:sz w:val="24"/>
          <w:szCs w:val="24"/>
          <w:lang w:val="sr-Latn-RS"/>
        </w:rPr>
        <w:t xml:space="preserve"> 2020</w:t>
      </w:r>
      <w:r w:rsidRPr="00174FCA">
        <w:rPr>
          <w:bCs/>
          <w:sz w:val="24"/>
          <w:szCs w:val="24"/>
          <w:lang w:val="sr-Latn-RS"/>
        </w:rPr>
        <w:t>. godina.</w:t>
      </w:r>
    </w:p>
    <w:p w14:paraId="5C3579BE" w14:textId="0A8C447F" w:rsidR="0055797E" w:rsidRPr="00790395" w:rsidRDefault="0055797E" w:rsidP="0055797E">
      <w:pPr>
        <w:pBdr>
          <w:top w:val="nil"/>
          <w:left w:val="nil"/>
          <w:bottom w:val="nil"/>
          <w:right w:val="nil"/>
          <w:between w:val="nil"/>
        </w:pBdr>
        <w:spacing w:before="100" w:beforeAutospacing="1" w:after="100" w:afterAutospacing="1" w:line="240" w:lineRule="auto"/>
        <w:jc w:val="both"/>
        <w:rPr>
          <w:sz w:val="24"/>
          <w:szCs w:val="24"/>
          <w:lang w:val="sr-Latn-RS"/>
        </w:rPr>
      </w:pPr>
    </w:p>
    <w:p w14:paraId="422C60C7" w14:textId="5B5CE623" w:rsidR="0055797E" w:rsidRDefault="0055797E" w:rsidP="0055797E">
      <w:pPr>
        <w:pBdr>
          <w:top w:val="nil"/>
          <w:left w:val="nil"/>
          <w:bottom w:val="nil"/>
          <w:right w:val="nil"/>
          <w:between w:val="nil"/>
        </w:pBdr>
        <w:spacing w:before="100" w:beforeAutospacing="1" w:after="100" w:afterAutospacing="1" w:line="240" w:lineRule="auto"/>
        <w:jc w:val="both"/>
        <w:rPr>
          <w:sz w:val="24"/>
          <w:szCs w:val="24"/>
          <w:lang w:val="sr-Latn-RS"/>
        </w:rPr>
      </w:pPr>
    </w:p>
    <w:p w14:paraId="15F5A4D5" w14:textId="77777777" w:rsidR="00800922" w:rsidRPr="00790395" w:rsidRDefault="00800922" w:rsidP="0055797E">
      <w:pPr>
        <w:pBdr>
          <w:top w:val="nil"/>
          <w:left w:val="nil"/>
          <w:bottom w:val="nil"/>
          <w:right w:val="nil"/>
          <w:between w:val="nil"/>
        </w:pBdr>
        <w:spacing w:before="100" w:beforeAutospacing="1" w:after="100" w:afterAutospacing="1" w:line="240" w:lineRule="auto"/>
        <w:jc w:val="both"/>
        <w:rPr>
          <w:sz w:val="24"/>
          <w:szCs w:val="24"/>
          <w:lang w:val="sr-Latn-RS"/>
        </w:rPr>
      </w:pPr>
    </w:p>
    <w:p w14:paraId="4491C63C" w14:textId="09771185" w:rsidR="0055797E" w:rsidRPr="00790395" w:rsidRDefault="0055797E" w:rsidP="00627234">
      <w:pPr>
        <w:numPr>
          <w:ilvl w:val="0"/>
          <w:numId w:val="3"/>
        </w:numPr>
        <w:pBdr>
          <w:top w:val="nil"/>
          <w:left w:val="nil"/>
          <w:bottom w:val="nil"/>
          <w:right w:val="nil"/>
          <w:between w:val="nil"/>
        </w:pBdr>
        <w:spacing w:before="100" w:beforeAutospacing="1" w:after="100" w:afterAutospacing="1" w:line="240" w:lineRule="auto"/>
        <w:ind w:left="0" w:firstLine="0"/>
        <w:jc w:val="both"/>
        <w:rPr>
          <w:sz w:val="24"/>
          <w:szCs w:val="24"/>
          <w:lang w:val="sr-Latn-RS"/>
        </w:rPr>
      </w:pPr>
      <w:r w:rsidRPr="00790395">
        <w:rPr>
          <w:sz w:val="24"/>
          <w:szCs w:val="24"/>
          <w:lang w:val="sr-Latn-RS"/>
        </w:rPr>
        <w:t xml:space="preserve">Budžetska izdvajanja za socijalnu zaštitu na nacionalnom nivou </w:t>
      </w:r>
      <w:r w:rsidR="00800922">
        <w:rPr>
          <w:sz w:val="24"/>
          <w:szCs w:val="24"/>
          <w:lang w:val="sr-Latn-RS"/>
        </w:rPr>
        <w:t>povećana su</w:t>
      </w:r>
      <w:r w:rsidRPr="00790395">
        <w:rPr>
          <w:sz w:val="24"/>
          <w:szCs w:val="24"/>
          <w:lang w:val="sr-Latn-RS"/>
        </w:rPr>
        <w:t xml:space="preserve"> u apsolutnim brojevima, od 107,7 milijardi dinara u 2014. na 115,9 milijardi dinara u 2020. godini. Međutim, udeo BDP-a koji se izdvaja za socijalna davanja je opao od 2014. godine kada je </w:t>
      </w:r>
      <w:r w:rsidR="00800922">
        <w:rPr>
          <w:sz w:val="24"/>
          <w:szCs w:val="24"/>
          <w:lang w:val="sr-Latn-RS"/>
        </w:rPr>
        <w:t>iznosio</w:t>
      </w:r>
      <w:r w:rsidRPr="00790395">
        <w:rPr>
          <w:sz w:val="24"/>
          <w:szCs w:val="24"/>
          <w:lang w:val="sr-Latn-RS"/>
        </w:rPr>
        <w:t xml:space="preserve"> 2,63% nacionalnog BDP-a, na 2,11% u 2020. godini.</w:t>
      </w:r>
      <w:r w:rsidRPr="00790395">
        <w:rPr>
          <w:sz w:val="24"/>
          <w:szCs w:val="24"/>
          <w:vertAlign w:val="superscript"/>
          <w:lang w:val="sr-Latn-RS"/>
        </w:rPr>
        <w:footnoteReference w:id="51"/>
      </w:r>
      <w:r w:rsidRPr="00790395">
        <w:rPr>
          <w:sz w:val="24"/>
          <w:szCs w:val="24"/>
          <w:lang w:val="sr-Latn-RS"/>
        </w:rPr>
        <w:t xml:space="preserve"> Kao što je prethodno </w:t>
      </w:r>
      <w:r w:rsidR="00800922">
        <w:rPr>
          <w:sz w:val="24"/>
          <w:szCs w:val="24"/>
          <w:lang w:val="sr-Latn-RS"/>
        </w:rPr>
        <w:t>ukazano</w:t>
      </w:r>
      <w:r w:rsidRPr="00790395">
        <w:rPr>
          <w:sz w:val="24"/>
          <w:szCs w:val="24"/>
          <w:lang w:val="sr-Latn-RS"/>
        </w:rPr>
        <w:t xml:space="preserve">, </w:t>
      </w:r>
      <w:r w:rsidR="00EF250B" w:rsidRPr="00790395">
        <w:rPr>
          <w:sz w:val="24"/>
          <w:szCs w:val="24"/>
          <w:lang w:val="sr-Latn-RS"/>
        </w:rPr>
        <w:t>broj korisnika centara za socijalni rad se u ovom periodu uvećao sa 682,172 na 727,087.</w:t>
      </w:r>
      <w:r w:rsidR="00EF250B" w:rsidRPr="00790395">
        <w:rPr>
          <w:sz w:val="24"/>
          <w:szCs w:val="24"/>
          <w:vertAlign w:val="superscript"/>
          <w:lang w:val="sr-Latn-RS"/>
        </w:rPr>
        <w:footnoteReference w:id="52"/>
      </w:r>
      <w:r w:rsidR="00EF250B" w:rsidRPr="00790395">
        <w:rPr>
          <w:sz w:val="24"/>
          <w:szCs w:val="24"/>
          <w:lang w:val="sr-Latn-RS"/>
        </w:rPr>
        <w:t xml:space="preserve"> Izdvajanja za socijalnu zaštitu u Srbiji</w:t>
      </w:r>
      <w:r w:rsidR="00EF250B" w:rsidRPr="00790395">
        <w:rPr>
          <w:sz w:val="24"/>
          <w:szCs w:val="24"/>
          <w:vertAlign w:val="superscript"/>
          <w:lang w:val="sr-Latn-RS"/>
        </w:rPr>
        <w:footnoteReference w:id="53"/>
      </w:r>
      <w:r w:rsidR="00EF250B" w:rsidRPr="00790395">
        <w:rPr>
          <w:sz w:val="24"/>
          <w:szCs w:val="24"/>
          <w:lang w:val="sr-Latn-RS"/>
        </w:rPr>
        <w:t xml:space="preserve"> su niž</w:t>
      </w:r>
      <w:r w:rsidR="00800922">
        <w:rPr>
          <w:sz w:val="24"/>
          <w:szCs w:val="24"/>
          <w:lang w:val="sr-Latn-RS"/>
        </w:rPr>
        <w:t>a</w:t>
      </w:r>
      <w:r w:rsidR="00EF250B" w:rsidRPr="00790395">
        <w:rPr>
          <w:sz w:val="24"/>
          <w:szCs w:val="24"/>
          <w:lang w:val="sr-Latn-RS"/>
        </w:rPr>
        <w:t xml:space="preserve"> od evropskog proseka, po podacima Eurostat-a. Primera radi, 2017. godine prosek izdataka za socijalnu zaštitu u EU </w:t>
      </w:r>
      <w:r w:rsidR="00085DB1" w:rsidRPr="00790395">
        <w:rPr>
          <w:sz w:val="24"/>
          <w:szCs w:val="24"/>
          <w:lang w:val="sr-Latn-RS"/>
        </w:rPr>
        <w:t xml:space="preserve">je </w:t>
      </w:r>
      <w:r w:rsidR="00EF250B" w:rsidRPr="00790395">
        <w:rPr>
          <w:sz w:val="24"/>
          <w:szCs w:val="24"/>
          <w:lang w:val="sr-Latn-RS"/>
        </w:rPr>
        <w:t>iznosio 27,9% BDP-</w:t>
      </w:r>
      <w:r w:rsidR="00EF250B" w:rsidRPr="00790395">
        <w:rPr>
          <w:sz w:val="24"/>
          <w:szCs w:val="24"/>
          <w:lang w:val="sr-Latn-RS"/>
        </w:rPr>
        <w:lastRenderedPageBreak/>
        <w:t xml:space="preserve">a, dok je Srbija </w:t>
      </w:r>
      <w:r w:rsidR="00085DB1" w:rsidRPr="00790395">
        <w:rPr>
          <w:sz w:val="24"/>
          <w:szCs w:val="24"/>
          <w:lang w:val="sr-Latn-RS"/>
        </w:rPr>
        <w:t>na socijalnu zaštitu potrošila</w:t>
      </w:r>
      <w:r w:rsidR="00EF250B" w:rsidRPr="00790395">
        <w:rPr>
          <w:sz w:val="24"/>
          <w:szCs w:val="24"/>
          <w:lang w:val="sr-Latn-RS"/>
        </w:rPr>
        <w:t xml:space="preserve"> samo 19,5% svog BDP-a.</w:t>
      </w:r>
      <w:r w:rsidR="0064077D" w:rsidRPr="00790395">
        <w:rPr>
          <w:sz w:val="24"/>
          <w:szCs w:val="24"/>
          <w:lang w:val="sr-Latn-RS"/>
        </w:rPr>
        <w:t xml:space="preserve"> Od ovih izdataka, zemlje u EU su u proseku izdvajale 8,7% na decu</w:t>
      </w:r>
      <w:r w:rsidR="002C0A38">
        <w:rPr>
          <w:sz w:val="24"/>
          <w:szCs w:val="24"/>
          <w:lang w:val="sr-Latn-RS"/>
        </w:rPr>
        <w:t xml:space="preserve"> i </w:t>
      </w:r>
      <w:r w:rsidR="0064077D" w:rsidRPr="00790395">
        <w:rPr>
          <w:sz w:val="24"/>
          <w:szCs w:val="24"/>
          <w:lang w:val="sr-Latn-RS"/>
        </w:rPr>
        <w:t>porodice, dok je Srbija utrošila samo 6,5% ukupnih izdataka za socijalnu zaštitu na ovaj program. Situacija je ista kada su u pitanju stambena</w:t>
      </w:r>
      <w:r w:rsidR="002C0A38">
        <w:rPr>
          <w:sz w:val="24"/>
          <w:szCs w:val="24"/>
          <w:lang w:val="sr-Latn-RS"/>
        </w:rPr>
        <w:t xml:space="preserve"> i </w:t>
      </w:r>
      <w:r w:rsidR="0064077D" w:rsidRPr="00790395">
        <w:rPr>
          <w:sz w:val="24"/>
          <w:szCs w:val="24"/>
          <w:lang w:val="sr-Latn-RS"/>
        </w:rPr>
        <w:t>socijalna davanja – dok je prosek u EU 4% od ukupnih izdataka, Srbija troši samo 3,2% na taj program.</w:t>
      </w:r>
      <w:r w:rsidR="0064077D" w:rsidRPr="00790395">
        <w:rPr>
          <w:sz w:val="24"/>
          <w:szCs w:val="24"/>
          <w:vertAlign w:val="superscript"/>
          <w:lang w:val="sr-Latn-RS"/>
        </w:rPr>
        <w:footnoteReference w:id="54"/>
      </w:r>
    </w:p>
    <w:p w14:paraId="7A961B57" w14:textId="0FD7763E" w:rsidR="009B3885" w:rsidRPr="00790395" w:rsidRDefault="0064077D" w:rsidP="00627234">
      <w:pPr>
        <w:pStyle w:val="Heading1"/>
        <w:spacing w:before="100" w:beforeAutospacing="1" w:after="100" w:afterAutospacing="1" w:line="240" w:lineRule="auto"/>
        <w:rPr>
          <w:b/>
          <w:bCs/>
          <w:color w:val="auto"/>
          <w:sz w:val="28"/>
          <w:szCs w:val="28"/>
          <w:lang w:val="sr-Latn-RS"/>
        </w:rPr>
      </w:pPr>
      <w:bookmarkStart w:id="6" w:name="_Toc93689883"/>
      <w:r w:rsidRPr="00790395">
        <w:rPr>
          <w:b/>
          <w:bCs/>
          <w:color w:val="auto"/>
          <w:sz w:val="28"/>
          <w:szCs w:val="28"/>
          <w:lang w:val="sr-Latn-RS"/>
        </w:rPr>
        <w:t>Mere Vlade za oporavak od COVID-19</w:t>
      </w:r>
      <w:bookmarkEnd w:id="6"/>
    </w:p>
    <w:p w14:paraId="47B3E069" w14:textId="743ED104" w:rsidR="009267EB" w:rsidRPr="00790395" w:rsidRDefault="009267EB" w:rsidP="00D06744">
      <w:pPr>
        <w:numPr>
          <w:ilvl w:val="0"/>
          <w:numId w:val="3"/>
        </w:numPr>
        <w:spacing w:before="100" w:beforeAutospacing="1" w:after="100" w:afterAutospacing="1" w:line="240" w:lineRule="auto"/>
        <w:ind w:left="0" w:firstLine="0"/>
        <w:jc w:val="both"/>
        <w:rPr>
          <w:sz w:val="24"/>
          <w:szCs w:val="24"/>
          <w:lang w:val="sr-Latn-RS"/>
        </w:rPr>
      </w:pPr>
      <w:r w:rsidRPr="00790395">
        <w:rPr>
          <w:sz w:val="24"/>
          <w:szCs w:val="24"/>
          <w:lang w:val="sr-Latn-RS"/>
        </w:rPr>
        <w:t>Srbija je od izbijanja pandemije COVID-19 uvela niz mera oporavka u cilju ublažavanja zdravstvenih</w:t>
      </w:r>
      <w:r w:rsidR="002C0A38">
        <w:rPr>
          <w:sz w:val="24"/>
          <w:szCs w:val="24"/>
          <w:lang w:val="sr-Latn-RS"/>
        </w:rPr>
        <w:t xml:space="preserve"> i </w:t>
      </w:r>
      <w:r w:rsidRPr="00790395">
        <w:rPr>
          <w:sz w:val="24"/>
          <w:szCs w:val="24"/>
          <w:lang w:val="sr-Latn-RS"/>
        </w:rPr>
        <w:t>drugih rizika za pojedince</w:t>
      </w:r>
      <w:r w:rsidR="002C0A38">
        <w:rPr>
          <w:sz w:val="24"/>
          <w:szCs w:val="24"/>
          <w:lang w:val="sr-Latn-RS"/>
        </w:rPr>
        <w:t xml:space="preserve"> i </w:t>
      </w:r>
      <w:r w:rsidRPr="00790395">
        <w:rPr>
          <w:sz w:val="24"/>
          <w:szCs w:val="24"/>
          <w:lang w:val="sr-Latn-RS"/>
        </w:rPr>
        <w:t xml:space="preserve">kompanije. </w:t>
      </w:r>
      <w:r w:rsidR="00362548" w:rsidRPr="00790395">
        <w:rPr>
          <w:sz w:val="24"/>
          <w:szCs w:val="24"/>
          <w:lang w:val="sr-Latn-RS"/>
        </w:rPr>
        <w:t>Ministarstvo finansija procenilo je da je vrednost paketa mera za pomoć privredi</w:t>
      </w:r>
      <w:r w:rsidR="002C0A38">
        <w:rPr>
          <w:sz w:val="24"/>
          <w:szCs w:val="24"/>
          <w:lang w:val="sr-Latn-RS"/>
        </w:rPr>
        <w:t xml:space="preserve"> i </w:t>
      </w:r>
      <w:r w:rsidR="00362548" w:rsidRPr="00790395">
        <w:rPr>
          <w:sz w:val="24"/>
          <w:szCs w:val="24"/>
          <w:lang w:val="sr-Latn-RS"/>
        </w:rPr>
        <w:t xml:space="preserve">domaćinstvima koji je obezbeđen u 2020. godini </w:t>
      </w:r>
      <w:r w:rsidR="00800922">
        <w:rPr>
          <w:sz w:val="24"/>
          <w:szCs w:val="24"/>
          <w:lang w:val="sr-Latn-RS"/>
        </w:rPr>
        <w:t xml:space="preserve">iznosila </w:t>
      </w:r>
      <w:r w:rsidR="00362548" w:rsidRPr="00790395">
        <w:rPr>
          <w:sz w:val="24"/>
          <w:szCs w:val="24"/>
          <w:lang w:val="sr-Latn-RS"/>
        </w:rPr>
        <w:t>12,9% BDP-a.</w:t>
      </w:r>
      <w:r w:rsidR="00362548" w:rsidRPr="00790395">
        <w:rPr>
          <w:sz w:val="24"/>
          <w:szCs w:val="24"/>
          <w:vertAlign w:val="superscript"/>
          <w:lang w:val="sr-Latn-RS"/>
        </w:rPr>
        <w:footnoteReference w:id="55"/>
      </w:r>
      <w:r w:rsidR="00362548" w:rsidRPr="00790395">
        <w:rPr>
          <w:sz w:val="24"/>
          <w:szCs w:val="24"/>
          <w:lang w:val="sr-Latn-RS"/>
        </w:rPr>
        <w:t xml:space="preserve"> Međutim, nisu uvedene ciljane mere za zaštitu najugroženijih članova društva, </w:t>
      </w:r>
      <w:r w:rsidR="00800922">
        <w:rPr>
          <w:sz w:val="24"/>
          <w:szCs w:val="24"/>
          <w:lang w:val="sr-Latn-RS"/>
        </w:rPr>
        <w:t>čak i pored</w:t>
      </w:r>
      <w:r w:rsidR="00362548" w:rsidRPr="00790395">
        <w:rPr>
          <w:sz w:val="24"/>
          <w:szCs w:val="24"/>
          <w:lang w:val="sr-Latn-RS"/>
        </w:rPr>
        <w:t xml:space="preserve"> </w:t>
      </w:r>
      <w:r w:rsidR="00800922">
        <w:rPr>
          <w:sz w:val="24"/>
          <w:szCs w:val="24"/>
          <w:lang w:val="sr-Latn-RS"/>
        </w:rPr>
        <w:t>masivne mobilizacije</w:t>
      </w:r>
      <w:r w:rsidR="00362548" w:rsidRPr="00790395">
        <w:rPr>
          <w:sz w:val="24"/>
          <w:szCs w:val="24"/>
          <w:lang w:val="sr-Latn-RS"/>
        </w:rPr>
        <w:t xml:space="preserve"> finansijsk</w:t>
      </w:r>
      <w:r w:rsidR="00174FCA">
        <w:rPr>
          <w:sz w:val="24"/>
          <w:szCs w:val="24"/>
          <w:lang w:val="sr-Latn-RS"/>
        </w:rPr>
        <w:t>ih</w:t>
      </w:r>
      <w:r w:rsidR="00362548" w:rsidRPr="00790395">
        <w:rPr>
          <w:sz w:val="24"/>
          <w:szCs w:val="24"/>
          <w:lang w:val="sr-Latn-RS"/>
        </w:rPr>
        <w:t xml:space="preserve"> sredst</w:t>
      </w:r>
      <w:r w:rsidR="00800922">
        <w:rPr>
          <w:sz w:val="24"/>
          <w:szCs w:val="24"/>
          <w:lang w:val="sr-Latn-RS"/>
        </w:rPr>
        <w:t>a</w:t>
      </w:r>
      <w:r w:rsidR="00362548" w:rsidRPr="00790395">
        <w:rPr>
          <w:sz w:val="24"/>
          <w:szCs w:val="24"/>
          <w:lang w:val="sr-Latn-RS"/>
        </w:rPr>
        <w:t>va u državi.</w:t>
      </w:r>
    </w:p>
    <w:p w14:paraId="3C09DB00" w14:textId="4F3DCFCE" w:rsidR="00BE5C86" w:rsidRPr="00790395" w:rsidRDefault="00800922" w:rsidP="00BE5C86">
      <w:pPr>
        <w:numPr>
          <w:ilvl w:val="0"/>
          <w:numId w:val="3"/>
        </w:numPr>
        <w:spacing w:before="100" w:beforeAutospacing="1" w:after="100" w:afterAutospacing="1" w:line="240" w:lineRule="auto"/>
        <w:ind w:left="0" w:firstLine="0"/>
        <w:jc w:val="both"/>
        <w:rPr>
          <w:sz w:val="24"/>
          <w:szCs w:val="24"/>
          <w:lang w:val="sr-Latn-RS"/>
        </w:rPr>
      </w:pPr>
      <w:r>
        <w:rPr>
          <w:sz w:val="24"/>
          <w:szCs w:val="24"/>
          <w:lang w:val="sr-Latn-RS"/>
        </w:rPr>
        <w:t xml:space="preserve">Vlada je </w:t>
      </w:r>
      <w:r w:rsidR="00362548" w:rsidRPr="00790395">
        <w:rPr>
          <w:sz w:val="24"/>
          <w:szCs w:val="24"/>
          <w:lang w:val="sr-Latn-RS"/>
        </w:rPr>
        <w:t>10. aprila 2020. godine usvojila Uredbu o fiskalnim pogodnostima</w:t>
      </w:r>
      <w:r w:rsidR="002C0A38">
        <w:rPr>
          <w:sz w:val="24"/>
          <w:szCs w:val="24"/>
          <w:lang w:val="sr-Latn-RS"/>
        </w:rPr>
        <w:t xml:space="preserve"> i </w:t>
      </w:r>
      <w:r w:rsidR="00362548" w:rsidRPr="00790395">
        <w:rPr>
          <w:sz w:val="24"/>
          <w:szCs w:val="24"/>
          <w:lang w:val="sr-Latn-RS"/>
        </w:rPr>
        <w:t>direktnim davanjima privrednim subjektima u privatnom sektoru</w:t>
      </w:r>
      <w:r w:rsidR="002C0A38">
        <w:rPr>
          <w:sz w:val="24"/>
          <w:szCs w:val="24"/>
          <w:lang w:val="sr-Latn-RS"/>
        </w:rPr>
        <w:t xml:space="preserve"> i </w:t>
      </w:r>
      <w:r w:rsidR="00362548" w:rsidRPr="00790395">
        <w:rPr>
          <w:sz w:val="24"/>
          <w:szCs w:val="24"/>
          <w:lang w:val="sr-Latn-RS"/>
        </w:rPr>
        <w:t>novčanoj pomoći građanima u cilju ublažavanja ekonomskih posledica nastalih usled bolesti COVID-19.</w:t>
      </w:r>
      <w:r w:rsidR="00362548" w:rsidRPr="00790395">
        <w:rPr>
          <w:sz w:val="24"/>
          <w:szCs w:val="24"/>
          <w:vertAlign w:val="superscript"/>
          <w:lang w:val="sr-Latn-RS"/>
        </w:rPr>
        <w:footnoteReference w:id="56"/>
      </w:r>
      <w:r w:rsidR="00362548" w:rsidRPr="00790395">
        <w:rPr>
          <w:sz w:val="24"/>
          <w:szCs w:val="24"/>
          <w:lang w:val="sr-Latn-RS"/>
        </w:rPr>
        <w:t xml:space="preserve"> Međutim, ovom Uredbom </w:t>
      </w:r>
      <w:r w:rsidR="00BE5C86" w:rsidRPr="00790395">
        <w:rPr>
          <w:sz w:val="24"/>
          <w:szCs w:val="24"/>
          <w:lang w:val="sr-Latn-RS"/>
        </w:rPr>
        <w:t>je zanemaren položaj posebno</w:t>
      </w:r>
      <w:r w:rsidR="00362548" w:rsidRPr="00790395">
        <w:rPr>
          <w:sz w:val="24"/>
          <w:szCs w:val="24"/>
          <w:lang w:val="sr-Latn-RS"/>
        </w:rPr>
        <w:t xml:space="preserve"> ugroženih osoba</w:t>
      </w:r>
      <w:r w:rsidR="00BE5C86" w:rsidRPr="00790395">
        <w:rPr>
          <w:sz w:val="24"/>
          <w:szCs w:val="24"/>
          <w:lang w:val="sr-Latn-RS"/>
        </w:rPr>
        <w:t xml:space="preserve">, poput onih koji su angažovani u neformalnom sektoru, koji su bili teško pogođeni pandemijom, a posebno merama derogacije </w:t>
      </w:r>
      <w:r w:rsidR="00174FCA">
        <w:rPr>
          <w:sz w:val="24"/>
          <w:szCs w:val="24"/>
          <w:lang w:val="sr-Latn-RS"/>
        </w:rPr>
        <w:t xml:space="preserve">ljudskih prava </w:t>
      </w:r>
      <w:r w:rsidR="00BE5C86" w:rsidRPr="00790395">
        <w:rPr>
          <w:sz w:val="24"/>
          <w:szCs w:val="24"/>
          <w:lang w:val="sr-Latn-RS"/>
        </w:rPr>
        <w:t>tokom vanrednog stanja.</w:t>
      </w:r>
      <w:r w:rsidR="00BE5C86" w:rsidRPr="00790395">
        <w:rPr>
          <w:sz w:val="24"/>
          <w:szCs w:val="24"/>
          <w:vertAlign w:val="superscript"/>
          <w:lang w:val="sr-Latn-RS"/>
        </w:rPr>
        <w:footnoteReference w:id="57"/>
      </w:r>
      <w:r w:rsidR="00BE5C86" w:rsidRPr="00790395">
        <w:rPr>
          <w:sz w:val="24"/>
          <w:szCs w:val="24"/>
          <w:lang w:val="sr-Latn-RS"/>
        </w:rPr>
        <w:t xml:space="preserve"> Pravno nevidljiva lica</w:t>
      </w:r>
      <w:r w:rsidR="002C0A38">
        <w:rPr>
          <w:sz w:val="24"/>
          <w:szCs w:val="24"/>
          <w:lang w:val="sr-Latn-RS"/>
        </w:rPr>
        <w:t xml:space="preserve"> i </w:t>
      </w:r>
      <w:r w:rsidR="00BE5C86" w:rsidRPr="00790395">
        <w:rPr>
          <w:sz w:val="24"/>
          <w:szCs w:val="24"/>
          <w:lang w:val="sr-Latn-RS"/>
        </w:rPr>
        <w:t>druga lica bez dokumenata, ili oni bez prijavljenog prebivališta što su gotovo uvek Romi, zavise isključivo od prekarnog rada u neformalnoj ekonomiji</w:t>
      </w:r>
      <w:r w:rsidR="002C0A38">
        <w:rPr>
          <w:sz w:val="24"/>
          <w:szCs w:val="24"/>
          <w:lang w:val="sr-Latn-RS"/>
        </w:rPr>
        <w:t xml:space="preserve"> i </w:t>
      </w:r>
      <w:r w:rsidR="00BE5C86" w:rsidRPr="00790395">
        <w:rPr>
          <w:sz w:val="24"/>
          <w:szCs w:val="24"/>
          <w:lang w:val="sr-Latn-RS"/>
        </w:rPr>
        <w:t>aktivnostima, jer ni ne mogu formalno da budu u radnom odnosu ako nemaju dokumenta. Pravno nevidljivi Romi</w:t>
      </w:r>
      <w:r w:rsidR="002C0A38">
        <w:rPr>
          <w:sz w:val="24"/>
          <w:szCs w:val="24"/>
          <w:lang w:val="sr-Latn-RS"/>
        </w:rPr>
        <w:t xml:space="preserve"> </w:t>
      </w:r>
      <w:r w:rsidR="00BE5C86" w:rsidRPr="00790395">
        <w:rPr>
          <w:sz w:val="24"/>
          <w:szCs w:val="24"/>
          <w:lang w:val="sr-Latn-RS"/>
        </w:rPr>
        <w:t xml:space="preserve">su posebno bili u opasnosti da ostanu bez mogućnosti da obezbede sredstva za život. Takođe su bili isključeni iz mera podrške koje su uvedene tokom pandemije, kao što je bio slučaj sa jednokratnim novčanim davanjima u iznosu od 100 evra, kojima </w:t>
      </w:r>
      <w:r w:rsidR="004C6359" w:rsidRPr="00790395">
        <w:rPr>
          <w:sz w:val="24"/>
          <w:szCs w:val="24"/>
          <w:lang w:val="sr-Latn-RS"/>
        </w:rPr>
        <w:t>su samo punoletni građani Srbije</w:t>
      </w:r>
      <w:r w:rsidR="00BE5C86" w:rsidRPr="00790395">
        <w:rPr>
          <w:sz w:val="24"/>
          <w:szCs w:val="24"/>
          <w:lang w:val="sr-Latn-RS"/>
        </w:rPr>
        <w:t xml:space="preserve"> </w:t>
      </w:r>
      <w:r w:rsidR="004C6359" w:rsidRPr="00790395">
        <w:rPr>
          <w:sz w:val="24"/>
          <w:szCs w:val="24"/>
          <w:lang w:val="sr-Latn-RS"/>
        </w:rPr>
        <w:t xml:space="preserve">koji poseduju lična dokumenta </w:t>
      </w:r>
      <w:r w:rsidR="00BE5C86" w:rsidRPr="00790395">
        <w:rPr>
          <w:sz w:val="24"/>
          <w:szCs w:val="24"/>
          <w:lang w:val="sr-Latn-RS"/>
        </w:rPr>
        <w:t>mogl</w:t>
      </w:r>
      <w:r w:rsidR="004C6359" w:rsidRPr="00790395">
        <w:rPr>
          <w:sz w:val="24"/>
          <w:szCs w:val="24"/>
          <w:lang w:val="sr-Latn-RS"/>
        </w:rPr>
        <w:t>i</w:t>
      </w:r>
      <w:r w:rsidR="00BE5C86" w:rsidRPr="00790395">
        <w:rPr>
          <w:sz w:val="24"/>
          <w:szCs w:val="24"/>
          <w:lang w:val="sr-Latn-RS"/>
        </w:rPr>
        <w:t xml:space="preserve"> </w:t>
      </w:r>
      <w:r w:rsidR="003B6FA3">
        <w:rPr>
          <w:sz w:val="24"/>
          <w:szCs w:val="24"/>
          <w:lang w:val="sr-Latn-RS"/>
        </w:rPr>
        <w:t>da pristupe</w:t>
      </w:r>
      <w:r w:rsidR="004C6359" w:rsidRPr="00790395">
        <w:rPr>
          <w:sz w:val="24"/>
          <w:szCs w:val="24"/>
          <w:lang w:val="sr-Latn-RS"/>
        </w:rPr>
        <w:t>. Kasnije tokom 2021. godine Vlada je nastavila da sprovodi slične programe podrške, te platila 80 evra svim punoletnim građanima Republike Srbije, a navedenim kategorijama stanovništva je</w:t>
      </w:r>
      <w:r w:rsidR="002C0A38">
        <w:rPr>
          <w:sz w:val="24"/>
          <w:szCs w:val="24"/>
          <w:lang w:val="sr-Latn-RS"/>
        </w:rPr>
        <w:t xml:space="preserve"> i </w:t>
      </w:r>
      <w:r w:rsidR="004C6359" w:rsidRPr="00790395">
        <w:rPr>
          <w:sz w:val="24"/>
          <w:szCs w:val="24"/>
          <w:lang w:val="sr-Latn-RS"/>
        </w:rPr>
        <w:t>tada onemogućen pristup ovim vidovima pomoći.</w:t>
      </w:r>
    </w:p>
    <w:p w14:paraId="065CDEFC" w14:textId="64974D73" w:rsidR="00D06744" w:rsidRPr="00790395" w:rsidRDefault="004C6359" w:rsidP="00BE5C86">
      <w:pPr>
        <w:numPr>
          <w:ilvl w:val="0"/>
          <w:numId w:val="3"/>
        </w:numPr>
        <w:spacing w:before="100" w:beforeAutospacing="1" w:after="100" w:afterAutospacing="1" w:line="240" w:lineRule="auto"/>
        <w:ind w:left="0" w:firstLine="0"/>
        <w:jc w:val="both"/>
        <w:rPr>
          <w:sz w:val="24"/>
          <w:szCs w:val="24"/>
          <w:lang w:val="sr-Latn-RS"/>
        </w:rPr>
      </w:pPr>
      <w:r w:rsidRPr="00790395">
        <w:rPr>
          <w:sz w:val="24"/>
          <w:szCs w:val="24"/>
          <w:lang w:val="sr-Latn-RS"/>
        </w:rPr>
        <w:t xml:space="preserve">Navedeni slučaj predstavlja jedan od najočiglednijih primera isključivanja </w:t>
      </w:r>
      <w:r w:rsidR="003B6FA3">
        <w:rPr>
          <w:sz w:val="24"/>
          <w:szCs w:val="24"/>
          <w:lang w:val="sr-Latn-RS"/>
        </w:rPr>
        <w:t>ugroženih</w:t>
      </w:r>
      <w:r w:rsidRPr="00790395">
        <w:rPr>
          <w:sz w:val="24"/>
          <w:szCs w:val="24"/>
          <w:lang w:val="sr-Latn-RS"/>
        </w:rPr>
        <w:t xml:space="preserve"> Roma iz mera usmerenih na ublažavanje COVID-19 pandemije, </w:t>
      </w:r>
      <w:r w:rsidR="003277A6" w:rsidRPr="00790395">
        <w:rPr>
          <w:sz w:val="24"/>
          <w:szCs w:val="24"/>
          <w:lang w:val="sr-Latn-RS"/>
        </w:rPr>
        <w:t>čak u</w:t>
      </w:r>
      <w:r w:rsidRPr="00790395">
        <w:rPr>
          <w:sz w:val="24"/>
          <w:szCs w:val="24"/>
          <w:lang w:val="sr-Latn-RS"/>
        </w:rPr>
        <w:t xml:space="preserve"> vremenima </w:t>
      </w:r>
      <w:r w:rsidR="003277A6" w:rsidRPr="00790395">
        <w:rPr>
          <w:sz w:val="24"/>
          <w:szCs w:val="24"/>
          <w:lang w:val="sr-Latn-RS"/>
        </w:rPr>
        <w:t>masovnih javnih izdataka za ove svrhe (oko 600 miliona evra). Ovo je u suprotnosti sa preporukama Komiteta za ekonomska, socijalna</w:t>
      </w:r>
      <w:r w:rsidR="002C0A38">
        <w:rPr>
          <w:sz w:val="24"/>
          <w:szCs w:val="24"/>
          <w:lang w:val="sr-Latn-RS"/>
        </w:rPr>
        <w:t xml:space="preserve"> i </w:t>
      </w:r>
      <w:r w:rsidR="003277A6" w:rsidRPr="00790395">
        <w:rPr>
          <w:sz w:val="24"/>
          <w:szCs w:val="24"/>
          <w:lang w:val="sr-Latn-RS"/>
        </w:rPr>
        <w:t>kulturna prava u vezi sa COVID-19 pandemijom</w:t>
      </w:r>
      <w:r w:rsidR="002C0A38">
        <w:rPr>
          <w:sz w:val="24"/>
          <w:szCs w:val="24"/>
          <w:lang w:val="sr-Latn-RS"/>
        </w:rPr>
        <w:t xml:space="preserve"> i </w:t>
      </w:r>
      <w:r w:rsidR="003277A6" w:rsidRPr="00790395">
        <w:rPr>
          <w:sz w:val="24"/>
          <w:szCs w:val="24"/>
          <w:lang w:val="sr-Latn-RS"/>
        </w:rPr>
        <w:t>ekonomskim, socijalnim</w:t>
      </w:r>
      <w:r w:rsidR="002C0A38">
        <w:rPr>
          <w:sz w:val="24"/>
          <w:szCs w:val="24"/>
          <w:lang w:val="sr-Latn-RS"/>
        </w:rPr>
        <w:t xml:space="preserve"> i </w:t>
      </w:r>
      <w:r w:rsidR="003277A6" w:rsidRPr="00790395">
        <w:rPr>
          <w:sz w:val="24"/>
          <w:szCs w:val="24"/>
          <w:lang w:val="sr-Latn-RS"/>
        </w:rPr>
        <w:t>kulturnim pravima,</w:t>
      </w:r>
      <w:r w:rsidR="003277A6" w:rsidRPr="00790395">
        <w:rPr>
          <w:sz w:val="24"/>
          <w:szCs w:val="24"/>
          <w:vertAlign w:val="superscript"/>
          <w:lang w:val="sr-Latn-RS"/>
        </w:rPr>
        <w:footnoteReference w:id="58"/>
      </w:r>
      <w:r w:rsidR="003277A6" w:rsidRPr="00790395">
        <w:rPr>
          <w:sz w:val="24"/>
          <w:szCs w:val="24"/>
          <w:lang w:val="sr-Latn-RS"/>
        </w:rPr>
        <w:t xml:space="preserve"> </w:t>
      </w:r>
      <w:r w:rsidR="008C4338" w:rsidRPr="00790395">
        <w:rPr>
          <w:sz w:val="24"/>
          <w:szCs w:val="24"/>
          <w:lang w:val="sr-Latn-RS"/>
        </w:rPr>
        <w:t>kojima Komitet podseća zemlje ugovornice na obavezu da na najpravedniji način opredele maksimum raspoloživih sredstava za borbu protiv COVID-19</w:t>
      </w:r>
      <w:r w:rsidR="002C0A38">
        <w:rPr>
          <w:sz w:val="24"/>
          <w:szCs w:val="24"/>
          <w:lang w:val="sr-Latn-RS"/>
        </w:rPr>
        <w:t xml:space="preserve"> i </w:t>
      </w:r>
      <w:r w:rsidR="008C4338" w:rsidRPr="00790395">
        <w:rPr>
          <w:sz w:val="24"/>
          <w:szCs w:val="24"/>
          <w:lang w:val="sr-Latn-RS"/>
        </w:rPr>
        <w:t>uvedu posebno prilagođene</w:t>
      </w:r>
      <w:r w:rsidR="003B6FA3">
        <w:rPr>
          <w:sz w:val="24"/>
          <w:szCs w:val="24"/>
          <w:lang w:val="sr-Latn-RS"/>
        </w:rPr>
        <w:t xml:space="preserve"> mere</w:t>
      </w:r>
      <w:r w:rsidR="008C4338" w:rsidRPr="00790395">
        <w:rPr>
          <w:sz w:val="24"/>
          <w:szCs w:val="24"/>
          <w:lang w:val="sr-Latn-RS"/>
        </w:rPr>
        <w:t xml:space="preserve"> za zaštitu zdravlje</w:t>
      </w:r>
      <w:r w:rsidR="002C0A38">
        <w:rPr>
          <w:sz w:val="24"/>
          <w:szCs w:val="24"/>
          <w:lang w:val="sr-Latn-RS"/>
        </w:rPr>
        <w:t xml:space="preserve"> i </w:t>
      </w:r>
      <w:r w:rsidR="008C4338" w:rsidRPr="00790395">
        <w:rPr>
          <w:sz w:val="24"/>
          <w:szCs w:val="24"/>
          <w:lang w:val="sr-Latn-RS"/>
        </w:rPr>
        <w:t>sredst</w:t>
      </w:r>
      <w:r w:rsidR="003B6FA3">
        <w:rPr>
          <w:sz w:val="24"/>
          <w:szCs w:val="24"/>
          <w:lang w:val="sr-Latn-RS"/>
        </w:rPr>
        <w:t>a</w:t>
      </w:r>
      <w:r w:rsidR="008C4338" w:rsidRPr="00790395">
        <w:rPr>
          <w:sz w:val="24"/>
          <w:szCs w:val="24"/>
          <w:lang w:val="sr-Latn-RS"/>
        </w:rPr>
        <w:t>va za život manjinskih grupa, uključujući Rom</w:t>
      </w:r>
      <w:r w:rsidR="005A1201">
        <w:rPr>
          <w:sz w:val="24"/>
          <w:szCs w:val="24"/>
          <w:lang w:val="sr-Latn-RS"/>
        </w:rPr>
        <w:t>e</w:t>
      </w:r>
      <w:r w:rsidR="008C4338" w:rsidRPr="00790395">
        <w:rPr>
          <w:sz w:val="24"/>
          <w:szCs w:val="24"/>
          <w:lang w:val="sr-Latn-RS"/>
        </w:rPr>
        <w:t>.</w:t>
      </w:r>
    </w:p>
    <w:p w14:paraId="21B0F665" w14:textId="5D22EF25" w:rsidR="008C4338" w:rsidRPr="00790395" w:rsidRDefault="008C4338" w:rsidP="00BE5C86">
      <w:pPr>
        <w:numPr>
          <w:ilvl w:val="0"/>
          <w:numId w:val="3"/>
        </w:numPr>
        <w:spacing w:before="100" w:beforeAutospacing="1" w:after="100" w:afterAutospacing="1" w:line="240" w:lineRule="auto"/>
        <w:ind w:left="0" w:firstLine="0"/>
        <w:jc w:val="both"/>
        <w:rPr>
          <w:sz w:val="24"/>
          <w:szCs w:val="24"/>
          <w:lang w:val="sr-Latn-RS"/>
        </w:rPr>
      </w:pPr>
      <w:r w:rsidRPr="00790395">
        <w:rPr>
          <w:sz w:val="24"/>
          <w:szCs w:val="24"/>
          <w:lang w:val="sr-Latn-RS"/>
        </w:rPr>
        <w:t>Drugi deo politike Vlade prema COVID-19 podrazumevao je uvećanje investicija u zdravstveni sektor, posebno tokom 2020.</w:t>
      </w:r>
      <w:r w:rsidR="002C0A38">
        <w:rPr>
          <w:sz w:val="24"/>
          <w:szCs w:val="24"/>
          <w:lang w:val="sr-Latn-RS"/>
        </w:rPr>
        <w:t xml:space="preserve"> i </w:t>
      </w:r>
      <w:r w:rsidRPr="00790395">
        <w:rPr>
          <w:sz w:val="24"/>
          <w:szCs w:val="24"/>
          <w:lang w:val="sr-Latn-RS"/>
        </w:rPr>
        <w:t>2021. godine. Ove investicije su obezbeđene kroz hitnu nabavku medicinske opreme, vakcina</w:t>
      </w:r>
      <w:r w:rsidR="002C0A38">
        <w:rPr>
          <w:sz w:val="24"/>
          <w:szCs w:val="24"/>
          <w:lang w:val="sr-Latn-RS"/>
        </w:rPr>
        <w:t xml:space="preserve"> i </w:t>
      </w:r>
      <w:r w:rsidRPr="00790395">
        <w:rPr>
          <w:sz w:val="24"/>
          <w:szCs w:val="24"/>
          <w:lang w:val="sr-Latn-RS"/>
        </w:rPr>
        <w:t>lekova,</w:t>
      </w:r>
      <w:r w:rsidR="002C0A38">
        <w:rPr>
          <w:sz w:val="24"/>
          <w:szCs w:val="24"/>
          <w:lang w:val="sr-Latn-RS"/>
        </w:rPr>
        <w:t xml:space="preserve"> i </w:t>
      </w:r>
      <w:r w:rsidRPr="00790395">
        <w:rPr>
          <w:sz w:val="24"/>
          <w:szCs w:val="24"/>
          <w:lang w:val="sr-Latn-RS"/>
        </w:rPr>
        <w:t xml:space="preserve">hitnu izgradnju tri nove bolnice – u </w:t>
      </w:r>
      <w:r w:rsidRPr="00790395">
        <w:rPr>
          <w:sz w:val="24"/>
          <w:szCs w:val="24"/>
          <w:lang w:val="sr-Latn-RS"/>
        </w:rPr>
        <w:lastRenderedPageBreak/>
        <w:t>Beogradu, Novom Sadu</w:t>
      </w:r>
      <w:r w:rsidR="002C0A38">
        <w:rPr>
          <w:sz w:val="24"/>
          <w:szCs w:val="24"/>
          <w:lang w:val="sr-Latn-RS"/>
        </w:rPr>
        <w:t xml:space="preserve"> i </w:t>
      </w:r>
      <w:r w:rsidRPr="00790395">
        <w:rPr>
          <w:sz w:val="24"/>
          <w:szCs w:val="24"/>
          <w:lang w:val="sr-Latn-RS"/>
        </w:rPr>
        <w:t>Kruševcu. Me</w:t>
      </w:r>
      <w:r w:rsidR="00C249C8" w:rsidRPr="00790395">
        <w:rPr>
          <w:sz w:val="24"/>
          <w:szCs w:val="24"/>
          <w:lang w:val="sr-Latn-RS"/>
        </w:rPr>
        <w:t>đ</w:t>
      </w:r>
      <w:r w:rsidRPr="00790395">
        <w:rPr>
          <w:sz w:val="24"/>
          <w:szCs w:val="24"/>
          <w:lang w:val="sr-Latn-RS"/>
        </w:rPr>
        <w:t xml:space="preserve">utim, ove ogromne investicije </w:t>
      </w:r>
      <w:r w:rsidR="00C249C8" w:rsidRPr="00790395">
        <w:rPr>
          <w:sz w:val="24"/>
          <w:szCs w:val="24"/>
          <w:lang w:val="sr-Latn-RS"/>
        </w:rPr>
        <w:t>ponovo je okarakterisala netransparentnost, te</w:t>
      </w:r>
      <w:r w:rsidR="002C0A38">
        <w:rPr>
          <w:sz w:val="24"/>
          <w:szCs w:val="24"/>
          <w:lang w:val="sr-Latn-RS"/>
        </w:rPr>
        <w:t xml:space="preserve"> i </w:t>
      </w:r>
      <w:r w:rsidR="00C249C8" w:rsidRPr="00790395">
        <w:rPr>
          <w:sz w:val="24"/>
          <w:szCs w:val="24"/>
          <w:lang w:val="sr-Latn-RS"/>
        </w:rPr>
        <w:t xml:space="preserve">dalje nije jasno kako će kamate na ove pozajmice uticati na budžet narednih godina. </w:t>
      </w:r>
    </w:p>
    <w:p w14:paraId="125E0109" w14:textId="67997458" w:rsidR="009B3885" w:rsidRPr="00790395" w:rsidRDefault="00C249C8" w:rsidP="00627234">
      <w:pPr>
        <w:pStyle w:val="Heading1"/>
        <w:spacing w:before="100" w:beforeAutospacing="1" w:after="100" w:afterAutospacing="1" w:line="240" w:lineRule="auto"/>
        <w:rPr>
          <w:b/>
          <w:bCs/>
          <w:color w:val="auto"/>
          <w:sz w:val="28"/>
          <w:szCs w:val="28"/>
          <w:lang w:val="sr-Latn-RS"/>
        </w:rPr>
      </w:pPr>
      <w:bookmarkStart w:id="7" w:name="_Toc93689884"/>
      <w:r w:rsidRPr="00790395">
        <w:rPr>
          <w:b/>
          <w:bCs/>
          <w:color w:val="auto"/>
          <w:sz w:val="28"/>
          <w:szCs w:val="28"/>
          <w:lang w:val="sr-Latn-RS"/>
        </w:rPr>
        <w:t>Zaključci</w:t>
      </w:r>
      <w:r w:rsidR="002C0A38">
        <w:rPr>
          <w:b/>
          <w:bCs/>
          <w:color w:val="auto"/>
          <w:sz w:val="28"/>
          <w:szCs w:val="28"/>
          <w:lang w:val="sr-Latn-RS"/>
        </w:rPr>
        <w:t xml:space="preserve"> i </w:t>
      </w:r>
      <w:r w:rsidRPr="00790395">
        <w:rPr>
          <w:b/>
          <w:bCs/>
          <w:color w:val="auto"/>
          <w:sz w:val="28"/>
          <w:szCs w:val="28"/>
          <w:lang w:val="sr-Latn-RS"/>
        </w:rPr>
        <w:t>preporuke</w:t>
      </w:r>
      <w:bookmarkEnd w:id="7"/>
    </w:p>
    <w:p w14:paraId="62971B31" w14:textId="22013254" w:rsidR="00C249C8" w:rsidRPr="00790395" w:rsidRDefault="00C249C8" w:rsidP="00D06744">
      <w:pPr>
        <w:numPr>
          <w:ilvl w:val="0"/>
          <w:numId w:val="3"/>
        </w:numPr>
        <w:spacing w:before="100" w:beforeAutospacing="1" w:after="100" w:afterAutospacing="1" w:line="240" w:lineRule="auto"/>
        <w:ind w:left="0" w:firstLine="0"/>
        <w:jc w:val="both"/>
        <w:rPr>
          <w:sz w:val="24"/>
          <w:szCs w:val="24"/>
          <w:lang w:val="sr-Latn-RS"/>
        </w:rPr>
      </w:pPr>
      <w:r w:rsidRPr="00790395">
        <w:rPr>
          <w:sz w:val="24"/>
          <w:szCs w:val="24"/>
          <w:lang w:val="sr-Latn-RS"/>
        </w:rPr>
        <w:t>Srbija je jedna od zemalja sa najvećim nejednakosti</w:t>
      </w:r>
      <w:r w:rsidR="00C60E45" w:rsidRPr="00790395">
        <w:rPr>
          <w:sz w:val="24"/>
          <w:szCs w:val="24"/>
          <w:lang w:val="sr-Latn-RS"/>
        </w:rPr>
        <w:t>ma</w:t>
      </w:r>
      <w:r w:rsidRPr="00790395">
        <w:rPr>
          <w:sz w:val="24"/>
          <w:szCs w:val="24"/>
          <w:lang w:val="sr-Latn-RS"/>
        </w:rPr>
        <w:t xml:space="preserve"> u Evropi, sa konzistentno visokim brojem ljudi koji žive u siromaštvu, </w:t>
      </w:r>
      <w:r w:rsidR="00693C61" w:rsidRPr="00790395">
        <w:rPr>
          <w:sz w:val="24"/>
          <w:szCs w:val="24"/>
          <w:lang w:val="sr-Latn-RS"/>
        </w:rPr>
        <w:t>gde</w:t>
      </w:r>
      <w:r w:rsidRPr="00790395">
        <w:rPr>
          <w:sz w:val="24"/>
          <w:szCs w:val="24"/>
          <w:lang w:val="sr-Latn-RS"/>
        </w:rPr>
        <w:t xml:space="preserve"> gotovo čet</w:t>
      </w:r>
      <w:r w:rsidR="00693C61" w:rsidRPr="00790395">
        <w:rPr>
          <w:sz w:val="24"/>
          <w:szCs w:val="24"/>
          <w:lang w:val="sr-Latn-RS"/>
        </w:rPr>
        <w:t>v</w:t>
      </w:r>
      <w:r w:rsidRPr="00790395">
        <w:rPr>
          <w:sz w:val="24"/>
          <w:szCs w:val="24"/>
          <w:lang w:val="sr-Latn-RS"/>
        </w:rPr>
        <w:t>rtin</w:t>
      </w:r>
      <w:r w:rsidR="00693C61" w:rsidRPr="00790395">
        <w:rPr>
          <w:sz w:val="24"/>
          <w:szCs w:val="24"/>
          <w:lang w:val="sr-Latn-RS"/>
        </w:rPr>
        <w:t>a</w:t>
      </w:r>
      <w:r w:rsidRPr="00790395">
        <w:rPr>
          <w:sz w:val="24"/>
          <w:szCs w:val="24"/>
          <w:lang w:val="sr-Latn-RS"/>
        </w:rPr>
        <w:t xml:space="preserve"> stanovništva</w:t>
      </w:r>
      <w:r w:rsidR="00693C61" w:rsidRPr="00790395">
        <w:rPr>
          <w:sz w:val="24"/>
          <w:szCs w:val="24"/>
          <w:lang w:val="sr-Latn-RS"/>
        </w:rPr>
        <w:t xml:space="preserve"> živi</w:t>
      </w:r>
      <w:r w:rsidRPr="00790395">
        <w:rPr>
          <w:sz w:val="24"/>
          <w:szCs w:val="24"/>
          <w:lang w:val="sr-Latn-RS"/>
        </w:rPr>
        <w:t xml:space="preserve"> u riziku od siromaštva. Mere štednje koje je Vlada uvela 2014. godine su </w:t>
      </w:r>
      <w:r w:rsidR="00693C61" w:rsidRPr="00790395">
        <w:rPr>
          <w:sz w:val="24"/>
          <w:szCs w:val="24"/>
          <w:lang w:val="sr-Latn-RS"/>
        </w:rPr>
        <w:t>imale veliki uticaj na uživanje ekonomskih, socijalnih</w:t>
      </w:r>
      <w:r w:rsidR="002C0A38">
        <w:rPr>
          <w:sz w:val="24"/>
          <w:szCs w:val="24"/>
          <w:lang w:val="sr-Latn-RS"/>
        </w:rPr>
        <w:t xml:space="preserve"> i </w:t>
      </w:r>
      <w:r w:rsidR="00693C61" w:rsidRPr="00790395">
        <w:rPr>
          <w:sz w:val="24"/>
          <w:szCs w:val="24"/>
          <w:lang w:val="sr-Latn-RS"/>
        </w:rPr>
        <w:t xml:space="preserve">kulturnih prava </w:t>
      </w:r>
      <w:r w:rsidR="003B6FA3">
        <w:rPr>
          <w:sz w:val="24"/>
          <w:szCs w:val="24"/>
          <w:lang w:val="sr-Latn-RS"/>
        </w:rPr>
        <w:t xml:space="preserve">od strane </w:t>
      </w:r>
      <w:r w:rsidR="00693C61" w:rsidRPr="00790395">
        <w:rPr>
          <w:sz w:val="24"/>
          <w:szCs w:val="24"/>
          <w:lang w:val="sr-Latn-RS"/>
        </w:rPr>
        <w:t>ugroženih grupa, posebno osoba koje žive u siromaštvu, Roma, raseljenih lica, izbeglica,</w:t>
      </w:r>
      <w:r w:rsidR="002C0A38">
        <w:rPr>
          <w:sz w:val="24"/>
          <w:szCs w:val="24"/>
          <w:lang w:val="sr-Latn-RS"/>
        </w:rPr>
        <w:t xml:space="preserve"> i </w:t>
      </w:r>
      <w:r w:rsidR="00693C61" w:rsidRPr="00790395">
        <w:rPr>
          <w:sz w:val="24"/>
          <w:szCs w:val="24"/>
          <w:lang w:val="sr-Latn-RS"/>
        </w:rPr>
        <w:t xml:space="preserve">korisnika socijalne zaštite. </w:t>
      </w:r>
      <w:r w:rsidR="009C6C35" w:rsidRPr="00790395">
        <w:rPr>
          <w:sz w:val="24"/>
          <w:szCs w:val="24"/>
          <w:lang w:val="sr-Latn-RS"/>
        </w:rPr>
        <w:t>Javni rashodi za socijalna</w:t>
      </w:r>
      <w:r w:rsidR="002C0A38">
        <w:rPr>
          <w:sz w:val="24"/>
          <w:szCs w:val="24"/>
          <w:lang w:val="sr-Latn-RS"/>
        </w:rPr>
        <w:t xml:space="preserve"> i </w:t>
      </w:r>
      <w:r w:rsidR="009C6C35" w:rsidRPr="00790395">
        <w:rPr>
          <w:sz w:val="24"/>
          <w:szCs w:val="24"/>
          <w:lang w:val="sr-Latn-RS"/>
        </w:rPr>
        <w:t>ekonomska prava su u stalnom padu, iako se značajna sredstva rasipaju zbog lošeg upravljanja sredstvima, korupcije, nedostatka transparentnosti u budžetskim procesima</w:t>
      </w:r>
      <w:r w:rsidR="002C0A38">
        <w:rPr>
          <w:sz w:val="24"/>
          <w:szCs w:val="24"/>
          <w:lang w:val="sr-Latn-RS"/>
        </w:rPr>
        <w:t xml:space="preserve"> i </w:t>
      </w:r>
      <w:r w:rsidR="009C6C35" w:rsidRPr="00790395">
        <w:rPr>
          <w:sz w:val="24"/>
          <w:szCs w:val="24"/>
          <w:lang w:val="sr-Latn-RS"/>
        </w:rPr>
        <w:t>opšteg nedostatka pristupa ekonomskoj</w:t>
      </w:r>
      <w:r w:rsidR="002C0A38">
        <w:rPr>
          <w:sz w:val="24"/>
          <w:szCs w:val="24"/>
          <w:lang w:val="sr-Latn-RS"/>
        </w:rPr>
        <w:t xml:space="preserve"> i </w:t>
      </w:r>
      <w:r w:rsidR="009C6C35" w:rsidRPr="00790395">
        <w:rPr>
          <w:sz w:val="24"/>
          <w:szCs w:val="24"/>
          <w:lang w:val="sr-Latn-RS"/>
        </w:rPr>
        <w:t>fiskalnoj politici zasnovan</w:t>
      </w:r>
      <w:r w:rsidR="005A1201">
        <w:rPr>
          <w:sz w:val="24"/>
          <w:szCs w:val="24"/>
          <w:lang w:val="sr-Latn-RS"/>
        </w:rPr>
        <w:t>im</w:t>
      </w:r>
      <w:r w:rsidR="009C6C35" w:rsidRPr="00790395">
        <w:rPr>
          <w:sz w:val="24"/>
          <w:szCs w:val="24"/>
          <w:lang w:val="sr-Latn-RS"/>
        </w:rPr>
        <w:t xml:space="preserve"> na pravima.</w:t>
      </w:r>
    </w:p>
    <w:p w14:paraId="5A2EC640" w14:textId="0C0365FD" w:rsidR="009C6C35" w:rsidRPr="00790395" w:rsidRDefault="009C6C35" w:rsidP="00D06744">
      <w:pPr>
        <w:numPr>
          <w:ilvl w:val="0"/>
          <w:numId w:val="3"/>
        </w:numPr>
        <w:spacing w:before="100" w:beforeAutospacing="1" w:after="100" w:afterAutospacing="1" w:line="240" w:lineRule="auto"/>
        <w:ind w:left="0" w:firstLine="0"/>
        <w:jc w:val="both"/>
        <w:rPr>
          <w:sz w:val="24"/>
          <w:szCs w:val="24"/>
          <w:lang w:val="sr-Latn-RS"/>
        </w:rPr>
      </w:pPr>
      <w:r w:rsidRPr="00790395">
        <w:rPr>
          <w:sz w:val="24"/>
          <w:szCs w:val="24"/>
          <w:lang w:val="sr-Latn-RS"/>
        </w:rPr>
        <w:t>COVID-19 pandemija je dodatno pogoršala ovu situaciju, a Srbija je jedna od retkih zemalja koja je propustila da uvede ciljane mere za zaštitu najugroženije populacije tokom trajanja krize. Iako je 12,9% BDP-a odvojeno za mere oporavka od COVID-19 namenjene pojedincima, preduzećima</w:t>
      </w:r>
      <w:r w:rsidR="002C0A38">
        <w:rPr>
          <w:sz w:val="24"/>
          <w:szCs w:val="24"/>
          <w:lang w:val="sr-Latn-RS"/>
        </w:rPr>
        <w:t xml:space="preserve"> i </w:t>
      </w:r>
      <w:r w:rsidRPr="00790395">
        <w:rPr>
          <w:sz w:val="24"/>
          <w:szCs w:val="24"/>
          <w:lang w:val="sr-Latn-RS"/>
        </w:rPr>
        <w:t>zdravstvenom sistemu, u prvih godinu</w:t>
      </w:r>
      <w:r w:rsidR="002C0A38">
        <w:rPr>
          <w:sz w:val="24"/>
          <w:szCs w:val="24"/>
          <w:lang w:val="sr-Latn-RS"/>
        </w:rPr>
        <w:t xml:space="preserve"> i </w:t>
      </w:r>
      <w:r w:rsidRPr="00790395">
        <w:rPr>
          <w:sz w:val="24"/>
          <w:szCs w:val="24"/>
          <w:lang w:val="sr-Latn-RS"/>
        </w:rPr>
        <w:t>po dana trajanja krize ni jedna mera nije bila namenjena posebno ugroženom stanovništvu. Vlada je tek prošle godine odlučila da sprovede jednokratne isplate za nezaposlene,</w:t>
      </w:r>
      <w:r w:rsidR="002C0A38">
        <w:rPr>
          <w:sz w:val="24"/>
          <w:szCs w:val="24"/>
          <w:lang w:val="sr-Latn-RS"/>
        </w:rPr>
        <w:t xml:space="preserve"> i </w:t>
      </w:r>
      <w:r w:rsidRPr="00790395">
        <w:rPr>
          <w:sz w:val="24"/>
          <w:szCs w:val="24"/>
          <w:lang w:val="sr-Latn-RS"/>
        </w:rPr>
        <w:t>to u iznosu nedovoljnom za ublažavanje krize izazvane gubitkom posla, nesigurnošću</w:t>
      </w:r>
      <w:r w:rsidR="002C0A38">
        <w:rPr>
          <w:sz w:val="24"/>
          <w:szCs w:val="24"/>
          <w:lang w:val="sr-Latn-RS"/>
        </w:rPr>
        <w:t xml:space="preserve"> i </w:t>
      </w:r>
      <w:r w:rsidRPr="00790395">
        <w:rPr>
          <w:sz w:val="24"/>
          <w:szCs w:val="24"/>
          <w:lang w:val="sr-Latn-RS"/>
        </w:rPr>
        <w:t>globalnom zdravstvenom krizom.</w:t>
      </w:r>
    </w:p>
    <w:p w14:paraId="17806B96" w14:textId="7DBAEEAB" w:rsidR="00D06744" w:rsidRPr="00790395" w:rsidRDefault="009C6C35" w:rsidP="00D06744">
      <w:pPr>
        <w:numPr>
          <w:ilvl w:val="0"/>
          <w:numId w:val="3"/>
        </w:numPr>
        <w:spacing w:before="100" w:beforeAutospacing="1" w:after="100" w:afterAutospacing="1" w:line="240" w:lineRule="auto"/>
        <w:ind w:left="0" w:firstLine="0"/>
        <w:jc w:val="both"/>
        <w:rPr>
          <w:sz w:val="24"/>
          <w:szCs w:val="24"/>
          <w:lang w:val="sr-Latn-RS"/>
        </w:rPr>
      </w:pPr>
      <w:r w:rsidRPr="00790395">
        <w:rPr>
          <w:sz w:val="24"/>
          <w:szCs w:val="24"/>
          <w:lang w:val="sr-Latn-RS"/>
        </w:rPr>
        <w:t xml:space="preserve">Vlada nije poništila niti </w:t>
      </w:r>
      <w:r w:rsidR="005A1201">
        <w:rPr>
          <w:sz w:val="24"/>
          <w:szCs w:val="24"/>
          <w:lang w:val="sr-Latn-RS"/>
        </w:rPr>
        <w:t>izmenila</w:t>
      </w:r>
      <w:r w:rsidRPr="00790395">
        <w:rPr>
          <w:sz w:val="24"/>
          <w:szCs w:val="24"/>
          <w:lang w:val="sr-Latn-RS"/>
        </w:rPr>
        <w:t xml:space="preserve"> mere štednje uvedene 2014. godine, značajno je pogoršala </w:t>
      </w:r>
      <w:r w:rsidR="00884655">
        <w:rPr>
          <w:sz w:val="24"/>
          <w:szCs w:val="24"/>
          <w:lang w:val="sr-Latn-RS"/>
        </w:rPr>
        <w:t>poziciju</w:t>
      </w:r>
      <w:r w:rsidRPr="00790395">
        <w:rPr>
          <w:sz w:val="24"/>
          <w:szCs w:val="24"/>
          <w:lang w:val="sr-Latn-RS"/>
        </w:rPr>
        <w:t xml:space="preserve"> posebno ugroženog stanovništva, te nije preduzela korake u skladu sa maksimumom raspoloživih sredstava kako bi progresivno realizovala ekonomska, socijalna</w:t>
      </w:r>
      <w:r w:rsidR="002C0A38">
        <w:rPr>
          <w:sz w:val="24"/>
          <w:szCs w:val="24"/>
          <w:lang w:val="sr-Latn-RS"/>
        </w:rPr>
        <w:t xml:space="preserve"> i </w:t>
      </w:r>
      <w:r w:rsidRPr="00790395">
        <w:rPr>
          <w:sz w:val="24"/>
          <w:szCs w:val="24"/>
          <w:lang w:val="sr-Latn-RS"/>
        </w:rPr>
        <w:t xml:space="preserve">kulturna prava u Srbiji. </w:t>
      </w:r>
    </w:p>
    <w:p w14:paraId="4920E4C1" w14:textId="6216F0D7" w:rsidR="009B3885" w:rsidRPr="00790395" w:rsidRDefault="00E745E1" w:rsidP="00627234">
      <w:pPr>
        <w:numPr>
          <w:ilvl w:val="0"/>
          <w:numId w:val="3"/>
        </w:numPr>
        <w:spacing w:before="100" w:beforeAutospacing="1" w:after="100" w:afterAutospacing="1" w:line="240" w:lineRule="auto"/>
        <w:ind w:left="0" w:firstLine="0"/>
        <w:jc w:val="both"/>
        <w:rPr>
          <w:sz w:val="24"/>
          <w:szCs w:val="24"/>
          <w:lang w:val="sr-Latn-RS"/>
        </w:rPr>
      </w:pPr>
      <w:r w:rsidRPr="00790395">
        <w:rPr>
          <w:sz w:val="24"/>
          <w:szCs w:val="24"/>
          <w:lang w:val="sr-Latn-RS"/>
        </w:rPr>
        <w:t>Preporuke državi ugovornici u vezi sa obavezama koje proističu iz čl. 2 st. 1 Pakta o ekonomskim, socijalnim</w:t>
      </w:r>
      <w:r w:rsidR="002C0A38">
        <w:rPr>
          <w:sz w:val="24"/>
          <w:szCs w:val="24"/>
          <w:lang w:val="sr-Latn-RS"/>
        </w:rPr>
        <w:t xml:space="preserve"> i </w:t>
      </w:r>
      <w:r w:rsidRPr="00790395">
        <w:rPr>
          <w:sz w:val="24"/>
          <w:szCs w:val="24"/>
          <w:lang w:val="sr-Latn-RS"/>
        </w:rPr>
        <w:t>kulturnim pravima:</w:t>
      </w:r>
      <w:r w:rsidR="008C0DA0" w:rsidRPr="00790395">
        <w:rPr>
          <w:sz w:val="24"/>
          <w:szCs w:val="24"/>
          <w:lang w:val="sr-Latn-RS"/>
        </w:rPr>
        <w:t xml:space="preserve"> </w:t>
      </w:r>
    </w:p>
    <w:p w14:paraId="0DF4A186" w14:textId="7B59A875" w:rsidR="009B3885" w:rsidRPr="00790395" w:rsidRDefault="00085218" w:rsidP="00627234">
      <w:pPr>
        <w:spacing w:before="100" w:beforeAutospacing="1" w:after="100" w:afterAutospacing="1" w:line="240" w:lineRule="auto"/>
        <w:jc w:val="both"/>
        <w:rPr>
          <w:b/>
          <w:sz w:val="24"/>
          <w:szCs w:val="24"/>
          <w:lang w:val="sr-Latn-RS"/>
        </w:rPr>
      </w:pPr>
      <w:r w:rsidRPr="00790395">
        <w:rPr>
          <w:b/>
          <w:sz w:val="24"/>
          <w:szCs w:val="24"/>
          <w:lang w:val="sr-Latn-RS"/>
        </w:rPr>
        <w:t>Preduzeti</w:t>
      </w:r>
      <w:r w:rsidR="00E745E1" w:rsidRPr="00790395">
        <w:rPr>
          <w:b/>
          <w:sz w:val="24"/>
          <w:szCs w:val="24"/>
          <w:lang w:val="sr-Latn-RS"/>
        </w:rPr>
        <w:t xml:space="preserve"> mere </w:t>
      </w:r>
      <w:r w:rsidR="00884655">
        <w:rPr>
          <w:b/>
          <w:sz w:val="24"/>
          <w:szCs w:val="24"/>
          <w:lang w:val="sr-Latn-RS"/>
        </w:rPr>
        <w:t>za</w:t>
      </w:r>
      <w:r w:rsidR="00E745E1" w:rsidRPr="00790395">
        <w:rPr>
          <w:b/>
          <w:sz w:val="24"/>
          <w:szCs w:val="24"/>
          <w:lang w:val="sr-Latn-RS"/>
        </w:rPr>
        <w:t xml:space="preserve"> okončanj</w:t>
      </w:r>
      <w:r w:rsidR="00884655">
        <w:rPr>
          <w:b/>
          <w:sz w:val="24"/>
          <w:szCs w:val="24"/>
          <w:lang w:val="sr-Latn-RS"/>
        </w:rPr>
        <w:t>e</w:t>
      </w:r>
      <w:r w:rsidR="00E745E1" w:rsidRPr="00790395">
        <w:rPr>
          <w:b/>
          <w:sz w:val="24"/>
          <w:szCs w:val="24"/>
          <w:lang w:val="sr-Latn-RS"/>
        </w:rPr>
        <w:t xml:space="preserve"> štednje, uključujući kroz:</w:t>
      </w:r>
      <w:r w:rsidR="008C0DA0" w:rsidRPr="00790395">
        <w:rPr>
          <w:b/>
          <w:sz w:val="24"/>
          <w:szCs w:val="24"/>
          <w:lang w:val="sr-Latn-RS"/>
        </w:rPr>
        <w:t xml:space="preserve"> </w:t>
      </w:r>
    </w:p>
    <w:p w14:paraId="7CE54A3F" w14:textId="31734E1E" w:rsidR="009B3885" w:rsidRPr="00790395" w:rsidRDefault="00E745E1" w:rsidP="00627234">
      <w:pPr>
        <w:numPr>
          <w:ilvl w:val="0"/>
          <w:numId w:val="4"/>
        </w:numPr>
        <w:spacing w:before="100" w:beforeAutospacing="1" w:after="100" w:afterAutospacing="1" w:line="240" w:lineRule="auto"/>
        <w:jc w:val="both"/>
        <w:rPr>
          <w:sz w:val="24"/>
          <w:szCs w:val="24"/>
          <w:lang w:val="sr-Latn-RS"/>
        </w:rPr>
      </w:pPr>
      <w:r w:rsidRPr="00790395">
        <w:rPr>
          <w:sz w:val="24"/>
          <w:szCs w:val="24"/>
          <w:lang w:val="sr-Latn-RS"/>
        </w:rPr>
        <w:t>Progresivno uvećavanje izdataka na zdravstvenu</w:t>
      </w:r>
      <w:r w:rsidR="002C0A38">
        <w:rPr>
          <w:sz w:val="24"/>
          <w:szCs w:val="24"/>
          <w:lang w:val="sr-Latn-RS"/>
        </w:rPr>
        <w:t xml:space="preserve"> i </w:t>
      </w:r>
      <w:r w:rsidRPr="00790395">
        <w:rPr>
          <w:sz w:val="24"/>
          <w:szCs w:val="24"/>
          <w:lang w:val="sr-Latn-RS"/>
        </w:rPr>
        <w:t>socijalnu zaštitu kroz udeo BDP-a.</w:t>
      </w:r>
    </w:p>
    <w:p w14:paraId="035E586A" w14:textId="6FF4FE2A" w:rsidR="009B3885" w:rsidRPr="00790395" w:rsidRDefault="005A1201" w:rsidP="00627234">
      <w:pPr>
        <w:numPr>
          <w:ilvl w:val="0"/>
          <w:numId w:val="4"/>
        </w:numPr>
        <w:spacing w:before="100" w:beforeAutospacing="1" w:after="100" w:afterAutospacing="1" w:line="240" w:lineRule="auto"/>
        <w:jc w:val="both"/>
        <w:rPr>
          <w:sz w:val="24"/>
          <w:szCs w:val="24"/>
          <w:lang w:val="sr-Latn-RS"/>
        </w:rPr>
      </w:pPr>
      <w:r>
        <w:rPr>
          <w:sz w:val="24"/>
          <w:szCs w:val="24"/>
          <w:lang w:val="sr-Latn-RS"/>
        </w:rPr>
        <w:t>Sprovođenje</w:t>
      </w:r>
      <w:r w:rsidR="00E745E1" w:rsidRPr="00790395">
        <w:rPr>
          <w:sz w:val="24"/>
          <w:szCs w:val="24"/>
          <w:lang w:val="sr-Latn-RS"/>
        </w:rPr>
        <w:t xml:space="preserve"> reforme poreskog sistema </w:t>
      </w:r>
      <w:r w:rsidR="00C8525C" w:rsidRPr="00790395">
        <w:rPr>
          <w:sz w:val="24"/>
          <w:szCs w:val="24"/>
          <w:lang w:val="sr-Latn-RS"/>
        </w:rPr>
        <w:t>kako bi bio progresivniji, uključujući kroz povlačenje ili izmene politika regresivnog oporezivanja koje su uvedene u sklopu mera štednje.</w:t>
      </w:r>
      <w:r w:rsidR="008C0DA0" w:rsidRPr="00790395">
        <w:rPr>
          <w:sz w:val="24"/>
          <w:szCs w:val="24"/>
          <w:lang w:val="sr-Latn-RS"/>
        </w:rPr>
        <w:t xml:space="preserve"> </w:t>
      </w:r>
    </w:p>
    <w:p w14:paraId="557281FE" w14:textId="399E2686" w:rsidR="009B3885" w:rsidRPr="00790395" w:rsidRDefault="00C8525C" w:rsidP="00627234">
      <w:pPr>
        <w:numPr>
          <w:ilvl w:val="0"/>
          <w:numId w:val="4"/>
        </w:numPr>
        <w:spacing w:before="100" w:beforeAutospacing="1" w:after="100" w:afterAutospacing="1" w:line="240" w:lineRule="auto"/>
        <w:jc w:val="both"/>
        <w:rPr>
          <w:sz w:val="24"/>
          <w:szCs w:val="24"/>
          <w:lang w:val="sr-Latn-RS"/>
        </w:rPr>
      </w:pPr>
      <w:r w:rsidRPr="00790395">
        <w:rPr>
          <w:sz w:val="24"/>
          <w:szCs w:val="24"/>
          <w:lang w:val="sr-Latn-RS"/>
        </w:rPr>
        <w:t>Merenje uticaja budžetskih smanjenja na uživanje ekonomskih, socijalnih</w:t>
      </w:r>
      <w:r w:rsidR="002C0A38">
        <w:rPr>
          <w:sz w:val="24"/>
          <w:szCs w:val="24"/>
          <w:lang w:val="sr-Latn-RS"/>
        </w:rPr>
        <w:t xml:space="preserve"> i </w:t>
      </w:r>
      <w:r w:rsidRPr="00790395">
        <w:rPr>
          <w:sz w:val="24"/>
          <w:szCs w:val="24"/>
          <w:lang w:val="sr-Latn-RS"/>
        </w:rPr>
        <w:t>kulturnih prava marginalizovanih</w:t>
      </w:r>
      <w:r w:rsidR="002C0A38">
        <w:rPr>
          <w:sz w:val="24"/>
          <w:szCs w:val="24"/>
          <w:lang w:val="sr-Latn-RS"/>
        </w:rPr>
        <w:t xml:space="preserve"> i </w:t>
      </w:r>
      <w:r w:rsidR="002202F7" w:rsidRPr="00790395">
        <w:rPr>
          <w:sz w:val="24"/>
          <w:szCs w:val="24"/>
          <w:lang w:val="sr-Latn-RS"/>
        </w:rPr>
        <w:t xml:space="preserve">ugroženih </w:t>
      </w:r>
      <w:r w:rsidRPr="00790395">
        <w:rPr>
          <w:sz w:val="24"/>
          <w:szCs w:val="24"/>
          <w:lang w:val="sr-Latn-RS"/>
        </w:rPr>
        <w:t xml:space="preserve">grupa, posebno žena, dece, Roma, raseljenih </w:t>
      </w:r>
      <w:r w:rsidR="002202F7" w:rsidRPr="00790395">
        <w:rPr>
          <w:sz w:val="24"/>
          <w:szCs w:val="24"/>
          <w:lang w:val="sr-Latn-RS"/>
        </w:rPr>
        <w:t>lica</w:t>
      </w:r>
      <w:r w:rsidR="002C0A38">
        <w:rPr>
          <w:sz w:val="24"/>
          <w:szCs w:val="24"/>
          <w:lang w:val="sr-Latn-RS"/>
        </w:rPr>
        <w:t xml:space="preserve"> i </w:t>
      </w:r>
      <w:r w:rsidR="002202F7" w:rsidRPr="00790395">
        <w:rPr>
          <w:sz w:val="24"/>
          <w:szCs w:val="24"/>
          <w:lang w:val="sr-Latn-RS"/>
        </w:rPr>
        <w:t>izbeglica.</w:t>
      </w:r>
      <w:r w:rsidR="008C0DA0" w:rsidRPr="00790395">
        <w:rPr>
          <w:sz w:val="24"/>
          <w:szCs w:val="24"/>
          <w:lang w:val="sr-Latn-RS"/>
        </w:rPr>
        <w:t xml:space="preserve"> </w:t>
      </w:r>
    </w:p>
    <w:p w14:paraId="24F1E2EA" w14:textId="0338A332" w:rsidR="009B3885" w:rsidRPr="00790395" w:rsidRDefault="002202F7" w:rsidP="00627234">
      <w:pPr>
        <w:numPr>
          <w:ilvl w:val="0"/>
          <w:numId w:val="4"/>
        </w:numPr>
        <w:spacing w:before="100" w:beforeAutospacing="1" w:after="100" w:afterAutospacing="1" w:line="240" w:lineRule="auto"/>
        <w:jc w:val="both"/>
        <w:rPr>
          <w:sz w:val="24"/>
          <w:szCs w:val="24"/>
          <w:lang w:val="sr-Latn-RS"/>
        </w:rPr>
      </w:pPr>
      <w:r w:rsidRPr="00790395">
        <w:rPr>
          <w:sz w:val="24"/>
          <w:szCs w:val="24"/>
          <w:lang w:val="sr-Latn-RS"/>
        </w:rPr>
        <w:t>Reforme sistema socijalne zaštite u cilju uklanjanja ograničenja kojima se onemogućuje pristup vidovima novčane socijalne pomoći za porodice porodicama sa više od četvoro dece.</w:t>
      </w:r>
      <w:r w:rsidR="008C0DA0" w:rsidRPr="00790395">
        <w:rPr>
          <w:sz w:val="24"/>
          <w:szCs w:val="24"/>
          <w:lang w:val="sr-Latn-RS"/>
        </w:rPr>
        <w:t xml:space="preserve"> </w:t>
      </w:r>
    </w:p>
    <w:p w14:paraId="6E9AE539" w14:textId="3BB5E712" w:rsidR="009B3885" w:rsidRPr="00790395" w:rsidRDefault="005A1201" w:rsidP="00627234">
      <w:pPr>
        <w:numPr>
          <w:ilvl w:val="0"/>
          <w:numId w:val="4"/>
        </w:numPr>
        <w:spacing w:before="100" w:beforeAutospacing="1" w:after="100" w:afterAutospacing="1" w:line="240" w:lineRule="auto"/>
        <w:jc w:val="both"/>
        <w:rPr>
          <w:sz w:val="24"/>
          <w:szCs w:val="24"/>
          <w:lang w:val="sr-Latn-RS"/>
        </w:rPr>
      </w:pPr>
      <w:r>
        <w:rPr>
          <w:sz w:val="24"/>
          <w:szCs w:val="24"/>
          <w:lang w:val="sr-Latn-RS"/>
        </w:rPr>
        <w:t>Ukidanje</w:t>
      </w:r>
      <w:r w:rsidR="00640C62" w:rsidRPr="00790395">
        <w:rPr>
          <w:sz w:val="24"/>
          <w:szCs w:val="24"/>
          <w:lang w:val="sr-Latn-RS"/>
        </w:rPr>
        <w:t xml:space="preserve"> prekida u primanjima socijalnih davanja osobama koje su sposobne za rad.</w:t>
      </w:r>
      <w:r w:rsidR="008C0DA0" w:rsidRPr="00790395">
        <w:rPr>
          <w:sz w:val="24"/>
          <w:szCs w:val="24"/>
          <w:lang w:val="sr-Latn-RS"/>
        </w:rPr>
        <w:t xml:space="preserve"> </w:t>
      </w:r>
    </w:p>
    <w:p w14:paraId="4758C114" w14:textId="388CFD2E" w:rsidR="009B3885" w:rsidRPr="00790395" w:rsidRDefault="00640C62" w:rsidP="00627234">
      <w:pPr>
        <w:numPr>
          <w:ilvl w:val="0"/>
          <w:numId w:val="4"/>
        </w:numPr>
        <w:spacing w:before="100" w:beforeAutospacing="1" w:after="100" w:afterAutospacing="1" w:line="240" w:lineRule="auto"/>
        <w:jc w:val="both"/>
        <w:rPr>
          <w:sz w:val="24"/>
          <w:szCs w:val="24"/>
          <w:lang w:val="sr-Latn-RS"/>
        </w:rPr>
      </w:pPr>
      <w:r w:rsidRPr="00790395">
        <w:rPr>
          <w:sz w:val="24"/>
          <w:szCs w:val="24"/>
          <w:lang w:val="sr-Latn-RS"/>
        </w:rPr>
        <w:t>Uvođenje transparentnog</w:t>
      </w:r>
      <w:r w:rsidR="002C0A38">
        <w:rPr>
          <w:sz w:val="24"/>
          <w:szCs w:val="24"/>
          <w:lang w:val="sr-Latn-RS"/>
        </w:rPr>
        <w:t xml:space="preserve"> i </w:t>
      </w:r>
      <w:r w:rsidRPr="00790395">
        <w:rPr>
          <w:sz w:val="24"/>
          <w:szCs w:val="24"/>
          <w:lang w:val="sr-Latn-RS"/>
        </w:rPr>
        <w:t xml:space="preserve">isplativog pristupa, zasnovanog na ljudskim pravima, </w:t>
      </w:r>
      <w:r w:rsidR="00884655">
        <w:rPr>
          <w:sz w:val="24"/>
          <w:szCs w:val="24"/>
          <w:lang w:val="sr-Latn-RS"/>
        </w:rPr>
        <w:t>u politike Vlade</w:t>
      </w:r>
      <w:r w:rsidRPr="00790395">
        <w:rPr>
          <w:sz w:val="24"/>
          <w:szCs w:val="24"/>
          <w:lang w:val="sr-Latn-RS"/>
        </w:rPr>
        <w:t xml:space="preserve"> o broju osoba zaposlenih u javnom sektoru, posebno u sektorima koji se tiču obrazovanja, zdravstvene</w:t>
      </w:r>
      <w:r w:rsidR="002C0A38">
        <w:rPr>
          <w:sz w:val="24"/>
          <w:szCs w:val="24"/>
          <w:lang w:val="sr-Latn-RS"/>
        </w:rPr>
        <w:t xml:space="preserve"> i </w:t>
      </w:r>
      <w:r w:rsidRPr="00790395">
        <w:rPr>
          <w:sz w:val="24"/>
          <w:szCs w:val="24"/>
          <w:lang w:val="sr-Latn-RS"/>
        </w:rPr>
        <w:t>socijalne zaštite,</w:t>
      </w:r>
      <w:r w:rsidR="002C0A38">
        <w:rPr>
          <w:sz w:val="24"/>
          <w:szCs w:val="24"/>
          <w:lang w:val="sr-Latn-RS"/>
        </w:rPr>
        <w:t xml:space="preserve"> i </w:t>
      </w:r>
      <w:r w:rsidRPr="00790395">
        <w:rPr>
          <w:sz w:val="24"/>
          <w:szCs w:val="24"/>
          <w:lang w:val="sr-Latn-RS"/>
        </w:rPr>
        <w:t>stanovanja.</w:t>
      </w:r>
      <w:r w:rsidR="008C0DA0" w:rsidRPr="00790395">
        <w:rPr>
          <w:sz w:val="24"/>
          <w:szCs w:val="24"/>
          <w:lang w:val="sr-Latn-RS"/>
        </w:rPr>
        <w:t xml:space="preserve"> </w:t>
      </w:r>
    </w:p>
    <w:p w14:paraId="560CA645" w14:textId="71E104FC" w:rsidR="00D06744" w:rsidRPr="00790395" w:rsidRDefault="00085218" w:rsidP="00790395">
      <w:pPr>
        <w:numPr>
          <w:ilvl w:val="0"/>
          <w:numId w:val="4"/>
        </w:numPr>
        <w:spacing w:before="100" w:beforeAutospacing="1" w:after="100" w:afterAutospacing="1" w:line="240" w:lineRule="auto"/>
        <w:jc w:val="both"/>
        <w:rPr>
          <w:sz w:val="24"/>
          <w:szCs w:val="24"/>
          <w:lang w:val="sr-Latn-RS"/>
        </w:rPr>
      </w:pPr>
      <w:r w:rsidRPr="00790395">
        <w:rPr>
          <w:sz w:val="24"/>
          <w:szCs w:val="24"/>
          <w:lang w:val="sr-Latn-RS"/>
        </w:rPr>
        <w:t>Davanje prioriteta potrebama najugroženijih pojedinaca, porodica</w:t>
      </w:r>
      <w:r w:rsidR="002C0A38">
        <w:rPr>
          <w:sz w:val="24"/>
          <w:szCs w:val="24"/>
          <w:lang w:val="sr-Latn-RS"/>
        </w:rPr>
        <w:t xml:space="preserve"> i </w:t>
      </w:r>
      <w:r w:rsidRPr="00790395">
        <w:rPr>
          <w:sz w:val="24"/>
          <w:szCs w:val="24"/>
          <w:lang w:val="sr-Latn-RS"/>
        </w:rPr>
        <w:t xml:space="preserve">zajednica </w:t>
      </w:r>
      <w:r w:rsidR="00AA5085">
        <w:rPr>
          <w:sz w:val="24"/>
          <w:szCs w:val="24"/>
          <w:lang w:val="sr-Latn-RS"/>
        </w:rPr>
        <w:t>u socijalnoj</w:t>
      </w:r>
      <w:r w:rsidRPr="00790395">
        <w:rPr>
          <w:sz w:val="24"/>
          <w:szCs w:val="24"/>
          <w:lang w:val="sr-Latn-RS"/>
        </w:rPr>
        <w:t xml:space="preserve"> zaštiti</w:t>
      </w:r>
      <w:r w:rsidR="002C0A38">
        <w:rPr>
          <w:sz w:val="24"/>
          <w:szCs w:val="24"/>
          <w:lang w:val="sr-Latn-RS"/>
        </w:rPr>
        <w:t xml:space="preserve"> i </w:t>
      </w:r>
      <w:r w:rsidRPr="00790395">
        <w:rPr>
          <w:sz w:val="24"/>
          <w:szCs w:val="24"/>
          <w:lang w:val="sr-Latn-RS"/>
        </w:rPr>
        <w:t>stanovanju</w:t>
      </w:r>
      <w:r w:rsidR="008C0DA0" w:rsidRPr="00790395">
        <w:rPr>
          <w:sz w:val="24"/>
          <w:szCs w:val="24"/>
          <w:lang w:val="sr-Latn-RS"/>
        </w:rPr>
        <w:t xml:space="preserve">. </w:t>
      </w:r>
    </w:p>
    <w:p w14:paraId="3E538D24" w14:textId="3012A9E2" w:rsidR="009B3885" w:rsidRPr="00790395" w:rsidRDefault="00085218" w:rsidP="00627234">
      <w:pPr>
        <w:spacing w:before="100" w:beforeAutospacing="1" w:after="100" w:afterAutospacing="1" w:line="240" w:lineRule="auto"/>
        <w:jc w:val="both"/>
        <w:rPr>
          <w:b/>
          <w:sz w:val="24"/>
          <w:szCs w:val="24"/>
          <w:lang w:val="sr-Latn-RS"/>
        </w:rPr>
      </w:pPr>
      <w:r w:rsidRPr="00790395">
        <w:rPr>
          <w:b/>
          <w:sz w:val="24"/>
          <w:szCs w:val="24"/>
          <w:lang w:val="sr-Latn-RS"/>
        </w:rPr>
        <w:lastRenderedPageBreak/>
        <w:t>Odgovoriti na pitanja siromaštva, nejednakosti,</w:t>
      </w:r>
      <w:r w:rsidR="002C0A38">
        <w:rPr>
          <w:b/>
          <w:sz w:val="24"/>
          <w:szCs w:val="24"/>
          <w:lang w:val="sr-Latn-RS"/>
        </w:rPr>
        <w:t xml:space="preserve"> i </w:t>
      </w:r>
      <w:r w:rsidRPr="00790395">
        <w:rPr>
          <w:b/>
          <w:sz w:val="24"/>
          <w:szCs w:val="24"/>
          <w:lang w:val="sr-Latn-RS"/>
        </w:rPr>
        <w:t>socijalne isključenosti pojedinih grupa kroz:</w:t>
      </w:r>
      <w:r w:rsidR="008C0DA0" w:rsidRPr="00790395">
        <w:rPr>
          <w:b/>
          <w:sz w:val="24"/>
          <w:szCs w:val="24"/>
          <w:lang w:val="sr-Latn-RS"/>
        </w:rPr>
        <w:t xml:space="preserve"> </w:t>
      </w:r>
    </w:p>
    <w:p w14:paraId="265A8362" w14:textId="6E6B7C22" w:rsidR="009B3885" w:rsidRPr="00790395" w:rsidRDefault="00085218" w:rsidP="00627234">
      <w:pPr>
        <w:numPr>
          <w:ilvl w:val="0"/>
          <w:numId w:val="1"/>
        </w:numPr>
        <w:spacing w:before="100" w:beforeAutospacing="1" w:after="100" w:afterAutospacing="1" w:line="240" w:lineRule="auto"/>
        <w:ind w:left="714" w:hanging="357"/>
        <w:jc w:val="both"/>
        <w:rPr>
          <w:sz w:val="24"/>
          <w:szCs w:val="24"/>
          <w:lang w:val="sr-Latn-RS"/>
        </w:rPr>
      </w:pPr>
      <w:r w:rsidRPr="00790395">
        <w:rPr>
          <w:sz w:val="24"/>
          <w:szCs w:val="24"/>
          <w:lang w:val="sr-Latn-RS"/>
        </w:rPr>
        <w:t>Usvajanje Strategije za smanjenje siromaštva zasnovane na ljudskim pravima, kroz transparentnu</w:t>
      </w:r>
      <w:r w:rsidR="002C0A38">
        <w:rPr>
          <w:sz w:val="24"/>
          <w:szCs w:val="24"/>
          <w:lang w:val="sr-Latn-RS"/>
        </w:rPr>
        <w:t xml:space="preserve"> i </w:t>
      </w:r>
      <w:r w:rsidRPr="00790395">
        <w:rPr>
          <w:sz w:val="24"/>
          <w:szCs w:val="24"/>
          <w:lang w:val="sr-Latn-RS"/>
        </w:rPr>
        <w:t>participativnu proceduru,</w:t>
      </w:r>
      <w:r w:rsidR="002C0A38">
        <w:rPr>
          <w:sz w:val="24"/>
          <w:szCs w:val="24"/>
          <w:lang w:val="sr-Latn-RS"/>
        </w:rPr>
        <w:t xml:space="preserve"> i </w:t>
      </w:r>
      <w:r w:rsidRPr="00790395">
        <w:rPr>
          <w:sz w:val="24"/>
          <w:szCs w:val="24"/>
          <w:lang w:val="sr-Latn-RS"/>
        </w:rPr>
        <w:t>u saradnji sa socijalnim partnerima</w:t>
      </w:r>
      <w:r w:rsidR="002C0A38">
        <w:rPr>
          <w:sz w:val="24"/>
          <w:szCs w:val="24"/>
          <w:lang w:val="sr-Latn-RS"/>
        </w:rPr>
        <w:t xml:space="preserve"> i </w:t>
      </w:r>
      <w:r w:rsidR="00960097" w:rsidRPr="00790395">
        <w:rPr>
          <w:sz w:val="24"/>
          <w:szCs w:val="24"/>
          <w:lang w:val="sr-Latn-RS"/>
        </w:rPr>
        <w:t>OCD</w:t>
      </w:r>
      <w:r w:rsidRPr="00790395">
        <w:rPr>
          <w:sz w:val="24"/>
          <w:szCs w:val="24"/>
          <w:lang w:val="sr-Latn-RS"/>
        </w:rPr>
        <w:t>.</w:t>
      </w:r>
      <w:r w:rsidR="008C0DA0" w:rsidRPr="00790395">
        <w:rPr>
          <w:sz w:val="24"/>
          <w:szCs w:val="24"/>
          <w:lang w:val="sr-Latn-RS"/>
        </w:rPr>
        <w:t xml:space="preserve"> </w:t>
      </w:r>
    </w:p>
    <w:p w14:paraId="796F1041" w14:textId="2DFC3260" w:rsidR="009B3885" w:rsidRPr="00790395" w:rsidRDefault="00085218" w:rsidP="00627234">
      <w:pPr>
        <w:numPr>
          <w:ilvl w:val="0"/>
          <w:numId w:val="1"/>
        </w:numPr>
        <w:spacing w:before="100" w:beforeAutospacing="1" w:after="100" w:afterAutospacing="1" w:line="240" w:lineRule="auto"/>
        <w:ind w:left="714" w:hanging="357"/>
        <w:jc w:val="both"/>
        <w:rPr>
          <w:sz w:val="24"/>
          <w:szCs w:val="24"/>
          <w:lang w:val="sr-Latn-RS"/>
        </w:rPr>
      </w:pPr>
      <w:r w:rsidRPr="00790395">
        <w:rPr>
          <w:sz w:val="24"/>
          <w:szCs w:val="24"/>
          <w:lang w:val="sr-Latn-RS"/>
        </w:rPr>
        <w:t>Obezbeđivanje adekvatnih fondova</w:t>
      </w:r>
      <w:r w:rsidR="002C0A38">
        <w:rPr>
          <w:sz w:val="24"/>
          <w:szCs w:val="24"/>
          <w:lang w:val="sr-Latn-RS"/>
        </w:rPr>
        <w:t xml:space="preserve"> i </w:t>
      </w:r>
      <w:r w:rsidRPr="00790395">
        <w:rPr>
          <w:sz w:val="24"/>
          <w:szCs w:val="24"/>
          <w:lang w:val="sr-Latn-RS"/>
        </w:rPr>
        <w:t xml:space="preserve">drugih sredstava </w:t>
      </w:r>
      <w:r w:rsidR="00642D91" w:rsidRPr="00790395">
        <w:rPr>
          <w:sz w:val="24"/>
          <w:szCs w:val="24"/>
          <w:lang w:val="sr-Latn-RS"/>
        </w:rPr>
        <w:t>za primenu ovih strategija.</w:t>
      </w:r>
      <w:r w:rsidR="008C0DA0" w:rsidRPr="00790395">
        <w:rPr>
          <w:sz w:val="24"/>
          <w:szCs w:val="24"/>
          <w:lang w:val="sr-Latn-RS"/>
        </w:rPr>
        <w:t xml:space="preserve"> </w:t>
      </w:r>
    </w:p>
    <w:p w14:paraId="34CF7CA8" w14:textId="44A62220" w:rsidR="009B3885" w:rsidRPr="00790395" w:rsidRDefault="00642D91" w:rsidP="00627234">
      <w:pPr>
        <w:numPr>
          <w:ilvl w:val="0"/>
          <w:numId w:val="1"/>
        </w:numPr>
        <w:spacing w:before="100" w:beforeAutospacing="1" w:after="100" w:afterAutospacing="1" w:line="240" w:lineRule="auto"/>
        <w:ind w:left="714" w:hanging="357"/>
        <w:jc w:val="both"/>
        <w:rPr>
          <w:sz w:val="24"/>
          <w:szCs w:val="24"/>
          <w:lang w:val="sr-Latn-RS"/>
        </w:rPr>
      </w:pPr>
      <w:r w:rsidRPr="00790395">
        <w:rPr>
          <w:sz w:val="24"/>
          <w:szCs w:val="24"/>
          <w:lang w:val="sr-Latn-RS"/>
        </w:rPr>
        <w:t>Uvođenje jasnog seta indikatora</w:t>
      </w:r>
      <w:r w:rsidR="002C0A38">
        <w:rPr>
          <w:sz w:val="24"/>
          <w:szCs w:val="24"/>
          <w:lang w:val="sr-Latn-RS"/>
        </w:rPr>
        <w:t xml:space="preserve"> i </w:t>
      </w:r>
      <w:r w:rsidRPr="00790395">
        <w:rPr>
          <w:sz w:val="24"/>
          <w:szCs w:val="24"/>
          <w:lang w:val="sr-Latn-RS"/>
        </w:rPr>
        <w:t>ciljeva za merenje smanjenja siromaštva</w:t>
      </w:r>
      <w:r w:rsidR="002C0A38">
        <w:rPr>
          <w:sz w:val="24"/>
          <w:szCs w:val="24"/>
          <w:lang w:val="sr-Latn-RS"/>
        </w:rPr>
        <w:t xml:space="preserve"> i </w:t>
      </w:r>
      <w:r w:rsidRPr="00790395">
        <w:rPr>
          <w:sz w:val="24"/>
          <w:szCs w:val="24"/>
          <w:lang w:val="sr-Latn-RS"/>
        </w:rPr>
        <w:t>socijalnog uključivanja, kao</w:t>
      </w:r>
      <w:r w:rsidR="002C0A38">
        <w:rPr>
          <w:sz w:val="24"/>
          <w:szCs w:val="24"/>
          <w:lang w:val="sr-Latn-RS"/>
        </w:rPr>
        <w:t xml:space="preserve"> i </w:t>
      </w:r>
      <w:r w:rsidRPr="00790395">
        <w:rPr>
          <w:sz w:val="24"/>
          <w:szCs w:val="24"/>
          <w:lang w:val="sr-Latn-RS"/>
        </w:rPr>
        <w:t>sistema nadleganja ovih ciljeva.</w:t>
      </w:r>
      <w:r w:rsidR="008C0DA0" w:rsidRPr="00790395">
        <w:rPr>
          <w:sz w:val="24"/>
          <w:szCs w:val="24"/>
          <w:lang w:val="sr-Latn-RS"/>
        </w:rPr>
        <w:t xml:space="preserve"> </w:t>
      </w:r>
    </w:p>
    <w:p w14:paraId="16EE1A5E" w14:textId="031E7DCF" w:rsidR="002C67B3" w:rsidRPr="00790395" w:rsidRDefault="00642D91" w:rsidP="00627234">
      <w:pPr>
        <w:numPr>
          <w:ilvl w:val="0"/>
          <w:numId w:val="1"/>
        </w:numPr>
        <w:spacing w:before="100" w:beforeAutospacing="1" w:after="100" w:afterAutospacing="1" w:line="240" w:lineRule="auto"/>
        <w:ind w:left="714" w:hanging="357"/>
        <w:jc w:val="both"/>
        <w:rPr>
          <w:sz w:val="24"/>
          <w:szCs w:val="24"/>
          <w:lang w:val="sr-Latn-RS"/>
        </w:rPr>
      </w:pPr>
      <w:r w:rsidRPr="00790395">
        <w:rPr>
          <w:sz w:val="24"/>
          <w:szCs w:val="24"/>
          <w:lang w:val="sr-Latn-RS"/>
        </w:rPr>
        <w:t>Uvođenje efikasn</w:t>
      </w:r>
      <w:r w:rsidR="00AA5085">
        <w:rPr>
          <w:sz w:val="24"/>
          <w:szCs w:val="24"/>
          <w:lang w:val="sr-Latn-RS"/>
        </w:rPr>
        <w:t xml:space="preserve">og sudskog preispitivanja </w:t>
      </w:r>
      <w:r w:rsidRPr="00790395">
        <w:rPr>
          <w:sz w:val="24"/>
          <w:szCs w:val="24"/>
          <w:lang w:val="sr-Latn-RS"/>
        </w:rPr>
        <w:t>državnih politika</w:t>
      </w:r>
      <w:r w:rsidR="002C0A38">
        <w:rPr>
          <w:sz w:val="24"/>
          <w:szCs w:val="24"/>
          <w:lang w:val="sr-Latn-RS"/>
        </w:rPr>
        <w:t xml:space="preserve"> i </w:t>
      </w:r>
      <w:r w:rsidRPr="00790395">
        <w:rPr>
          <w:sz w:val="24"/>
          <w:szCs w:val="24"/>
          <w:lang w:val="sr-Latn-RS"/>
        </w:rPr>
        <w:t>propisa koji se tiču uživanja ekonomskih, socijalnih</w:t>
      </w:r>
      <w:r w:rsidR="002C0A38">
        <w:rPr>
          <w:sz w:val="24"/>
          <w:szCs w:val="24"/>
          <w:lang w:val="sr-Latn-RS"/>
        </w:rPr>
        <w:t xml:space="preserve"> i </w:t>
      </w:r>
      <w:r w:rsidRPr="00790395">
        <w:rPr>
          <w:sz w:val="24"/>
          <w:szCs w:val="24"/>
          <w:lang w:val="sr-Latn-RS"/>
        </w:rPr>
        <w:t>kulturnih prava.</w:t>
      </w:r>
      <w:r w:rsidR="002C67B3" w:rsidRPr="00790395">
        <w:rPr>
          <w:sz w:val="24"/>
          <w:szCs w:val="24"/>
          <w:lang w:val="sr-Latn-RS"/>
        </w:rPr>
        <w:t xml:space="preserve"> </w:t>
      </w:r>
    </w:p>
    <w:p w14:paraId="477639C0" w14:textId="34FE80CF" w:rsidR="009B3885" w:rsidRPr="00790395" w:rsidRDefault="00642D91" w:rsidP="00627234">
      <w:pPr>
        <w:spacing w:before="100" w:beforeAutospacing="1" w:after="100" w:afterAutospacing="1" w:line="240" w:lineRule="auto"/>
        <w:jc w:val="both"/>
        <w:rPr>
          <w:b/>
          <w:sz w:val="24"/>
          <w:szCs w:val="24"/>
          <w:lang w:val="sr-Latn-RS"/>
        </w:rPr>
      </w:pPr>
      <w:r w:rsidRPr="00790395">
        <w:rPr>
          <w:b/>
          <w:sz w:val="24"/>
          <w:szCs w:val="24"/>
          <w:lang w:val="sr-Latn-RS"/>
        </w:rPr>
        <w:t>Usvojiti pristup fiskalnim politikama zasnovan na ljudskim pravima, uključujući kroz:</w:t>
      </w:r>
      <w:r w:rsidR="008C0DA0" w:rsidRPr="00790395">
        <w:rPr>
          <w:b/>
          <w:sz w:val="24"/>
          <w:szCs w:val="24"/>
          <w:lang w:val="sr-Latn-RS"/>
        </w:rPr>
        <w:t xml:space="preserve"> </w:t>
      </w:r>
    </w:p>
    <w:p w14:paraId="1D925E08" w14:textId="0563DA14" w:rsidR="009B3885" w:rsidRPr="00790395" w:rsidRDefault="00642D91" w:rsidP="00627234">
      <w:pPr>
        <w:numPr>
          <w:ilvl w:val="0"/>
          <w:numId w:val="2"/>
        </w:numPr>
        <w:spacing w:before="100" w:beforeAutospacing="1" w:after="100" w:afterAutospacing="1" w:line="240" w:lineRule="auto"/>
        <w:jc w:val="both"/>
        <w:rPr>
          <w:sz w:val="24"/>
          <w:szCs w:val="24"/>
          <w:lang w:val="sr-Latn-RS"/>
        </w:rPr>
      </w:pPr>
      <w:r w:rsidRPr="00790395">
        <w:rPr>
          <w:sz w:val="24"/>
          <w:szCs w:val="24"/>
          <w:lang w:val="sr-Latn-RS"/>
        </w:rPr>
        <w:t>Obezbeđivanje u</w:t>
      </w:r>
      <w:r w:rsidR="00960097" w:rsidRPr="00790395">
        <w:rPr>
          <w:sz w:val="24"/>
          <w:szCs w:val="24"/>
          <w:lang w:val="sr-Latn-RS"/>
        </w:rPr>
        <w:t>č</w:t>
      </w:r>
      <w:r w:rsidRPr="00790395">
        <w:rPr>
          <w:sz w:val="24"/>
          <w:szCs w:val="24"/>
          <w:lang w:val="sr-Latn-RS"/>
        </w:rPr>
        <w:t xml:space="preserve">ešća zajednica, socijalnih partnera, </w:t>
      </w:r>
      <w:r w:rsidR="00960097" w:rsidRPr="00790395">
        <w:rPr>
          <w:sz w:val="24"/>
          <w:szCs w:val="24"/>
          <w:lang w:val="sr-Latn-RS"/>
        </w:rPr>
        <w:t>OCD</w:t>
      </w:r>
      <w:r w:rsidRPr="00790395">
        <w:rPr>
          <w:sz w:val="24"/>
          <w:szCs w:val="24"/>
          <w:lang w:val="sr-Latn-RS"/>
        </w:rPr>
        <w:t>,</w:t>
      </w:r>
      <w:r w:rsidR="002C0A38">
        <w:rPr>
          <w:sz w:val="24"/>
          <w:szCs w:val="24"/>
          <w:lang w:val="sr-Latn-RS"/>
        </w:rPr>
        <w:t xml:space="preserve"> i </w:t>
      </w:r>
      <w:r w:rsidRPr="00790395">
        <w:rPr>
          <w:sz w:val="24"/>
          <w:szCs w:val="24"/>
          <w:lang w:val="sr-Latn-RS"/>
        </w:rPr>
        <w:t xml:space="preserve">drugih zainteresovanih aktera u </w:t>
      </w:r>
      <w:r w:rsidR="00960097" w:rsidRPr="00790395">
        <w:rPr>
          <w:sz w:val="24"/>
          <w:szCs w:val="24"/>
          <w:lang w:val="sr-Latn-RS"/>
        </w:rPr>
        <w:t>fazi planiranja budžetskog procesa.</w:t>
      </w:r>
      <w:r w:rsidR="008C0DA0" w:rsidRPr="00790395">
        <w:rPr>
          <w:sz w:val="24"/>
          <w:szCs w:val="24"/>
          <w:lang w:val="sr-Latn-RS"/>
        </w:rPr>
        <w:t xml:space="preserve"> </w:t>
      </w:r>
    </w:p>
    <w:p w14:paraId="132E263C" w14:textId="595A28D2" w:rsidR="009B3885" w:rsidRPr="00790395" w:rsidRDefault="00960097" w:rsidP="00627234">
      <w:pPr>
        <w:numPr>
          <w:ilvl w:val="0"/>
          <w:numId w:val="2"/>
        </w:numPr>
        <w:spacing w:before="100" w:beforeAutospacing="1" w:after="100" w:afterAutospacing="1" w:line="240" w:lineRule="auto"/>
        <w:jc w:val="both"/>
        <w:rPr>
          <w:sz w:val="24"/>
          <w:szCs w:val="24"/>
          <w:lang w:val="sr-Latn-RS"/>
        </w:rPr>
      </w:pPr>
      <w:r w:rsidRPr="00790395">
        <w:rPr>
          <w:sz w:val="24"/>
          <w:szCs w:val="24"/>
          <w:lang w:val="sr-Latn-RS"/>
        </w:rPr>
        <w:t xml:space="preserve">Uvođenje </w:t>
      </w:r>
      <w:r w:rsidR="00AA5085">
        <w:rPr>
          <w:sz w:val="24"/>
          <w:szCs w:val="24"/>
          <w:lang w:val="sr-Latn-RS"/>
        </w:rPr>
        <w:t>zakonske</w:t>
      </w:r>
      <w:r w:rsidRPr="00790395">
        <w:rPr>
          <w:sz w:val="24"/>
          <w:szCs w:val="24"/>
          <w:lang w:val="sr-Latn-RS"/>
        </w:rPr>
        <w:t xml:space="preserve"> reforme u cilju unapređenja transparentnosti</w:t>
      </w:r>
      <w:r w:rsidR="002C0A38">
        <w:rPr>
          <w:sz w:val="24"/>
          <w:szCs w:val="24"/>
          <w:lang w:val="sr-Latn-RS"/>
        </w:rPr>
        <w:t xml:space="preserve"> i </w:t>
      </w:r>
      <w:r w:rsidRPr="00790395">
        <w:rPr>
          <w:sz w:val="24"/>
          <w:szCs w:val="24"/>
          <w:lang w:val="sr-Latn-RS"/>
        </w:rPr>
        <w:t>odgovornosti u budžetskom procesu</w:t>
      </w:r>
      <w:r w:rsidR="008C0DA0" w:rsidRPr="00790395">
        <w:rPr>
          <w:sz w:val="24"/>
          <w:szCs w:val="24"/>
          <w:lang w:val="sr-Latn-RS"/>
        </w:rPr>
        <w:t xml:space="preserve">. </w:t>
      </w:r>
    </w:p>
    <w:p w14:paraId="6C7D90A7" w14:textId="2A7C0E3B" w:rsidR="009B3885" w:rsidRPr="00790395" w:rsidRDefault="00960097" w:rsidP="00627234">
      <w:pPr>
        <w:numPr>
          <w:ilvl w:val="0"/>
          <w:numId w:val="2"/>
        </w:numPr>
        <w:spacing w:before="100" w:beforeAutospacing="1" w:after="100" w:afterAutospacing="1" w:line="240" w:lineRule="auto"/>
        <w:jc w:val="both"/>
        <w:rPr>
          <w:sz w:val="24"/>
          <w:szCs w:val="24"/>
          <w:lang w:val="sr-Latn-RS"/>
        </w:rPr>
      </w:pPr>
      <w:r w:rsidRPr="00790395">
        <w:rPr>
          <w:sz w:val="24"/>
          <w:szCs w:val="24"/>
          <w:lang w:val="sr-Latn-RS"/>
        </w:rPr>
        <w:t>Uvođenje procene uticaja na ljudska prava u budžetski proces.</w:t>
      </w:r>
      <w:r w:rsidR="008C0DA0" w:rsidRPr="00790395">
        <w:rPr>
          <w:sz w:val="24"/>
          <w:szCs w:val="24"/>
          <w:lang w:val="sr-Latn-RS"/>
        </w:rPr>
        <w:t xml:space="preserve"> </w:t>
      </w:r>
    </w:p>
    <w:p w14:paraId="2823541A" w14:textId="0C741561" w:rsidR="009B3885" w:rsidRPr="00790395" w:rsidRDefault="008E0D6C" w:rsidP="00627234">
      <w:pPr>
        <w:numPr>
          <w:ilvl w:val="0"/>
          <w:numId w:val="2"/>
        </w:numPr>
        <w:spacing w:before="100" w:beforeAutospacing="1" w:after="100" w:afterAutospacing="1" w:line="240" w:lineRule="auto"/>
        <w:jc w:val="both"/>
        <w:rPr>
          <w:sz w:val="24"/>
          <w:szCs w:val="24"/>
          <w:lang w:val="sr-Latn-RS"/>
        </w:rPr>
      </w:pPr>
      <w:r w:rsidRPr="00790395">
        <w:rPr>
          <w:sz w:val="24"/>
          <w:szCs w:val="24"/>
          <w:lang w:val="sr-Latn-RS"/>
        </w:rPr>
        <w:t xml:space="preserve">Preduzimanje svih neophodnih </w:t>
      </w:r>
      <w:r w:rsidR="00AA5085">
        <w:rPr>
          <w:sz w:val="24"/>
          <w:szCs w:val="24"/>
          <w:lang w:val="sr-Latn-RS"/>
        </w:rPr>
        <w:t xml:space="preserve">mera </w:t>
      </w:r>
      <w:r w:rsidRPr="00790395">
        <w:rPr>
          <w:sz w:val="24"/>
          <w:szCs w:val="24"/>
          <w:lang w:val="sr-Latn-RS"/>
        </w:rPr>
        <w:t>za obezbeđivanje adekvatnog nivoa javnog finansiranja na nacionalnom, pokrajinskom</w:t>
      </w:r>
      <w:r w:rsidR="002C0A38">
        <w:rPr>
          <w:sz w:val="24"/>
          <w:szCs w:val="24"/>
          <w:lang w:val="sr-Latn-RS"/>
        </w:rPr>
        <w:t xml:space="preserve"> i </w:t>
      </w:r>
      <w:r w:rsidRPr="00790395">
        <w:rPr>
          <w:sz w:val="24"/>
          <w:szCs w:val="24"/>
          <w:lang w:val="sr-Latn-RS"/>
        </w:rPr>
        <w:t>lokalnom nivou kako bi se osiguralo progresivno ostvarivanje ekonomskih, socijalnih</w:t>
      </w:r>
      <w:r w:rsidR="002C0A38">
        <w:rPr>
          <w:sz w:val="24"/>
          <w:szCs w:val="24"/>
          <w:lang w:val="sr-Latn-RS"/>
        </w:rPr>
        <w:t xml:space="preserve"> i </w:t>
      </w:r>
      <w:r w:rsidRPr="00790395">
        <w:rPr>
          <w:sz w:val="24"/>
          <w:szCs w:val="24"/>
          <w:lang w:val="sr-Latn-RS"/>
        </w:rPr>
        <w:t>kulturnih prava.</w:t>
      </w:r>
      <w:r w:rsidR="008C0DA0" w:rsidRPr="00790395">
        <w:rPr>
          <w:sz w:val="24"/>
          <w:szCs w:val="24"/>
          <w:lang w:val="sr-Latn-RS"/>
        </w:rPr>
        <w:t xml:space="preserve"> </w:t>
      </w:r>
    </w:p>
    <w:p w14:paraId="6E5E1F9E" w14:textId="2832CCC9" w:rsidR="009B3885" w:rsidRPr="00790395" w:rsidRDefault="00F13AE6" w:rsidP="00627234">
      <w:pPr>
        <w:numPr>
          <w:ilvl w:val="0"/>
          <w:numId w:val="2"/>
        </w:numPr>
        <w:spacing w:before="100" w:beforeAutospacing="1" w:after="100" w:afterAutospacing="1" w:line="240" w:lineRule="auto"/>
        <w:jc w:val="both"/>
        <w:rPr>
          <w:sz w:val="24"/>
          <w:szCs w:val="24"/>
          <w:lang w:val="sr-Latn-RS"/>
        </w:rPr>
      </w:pPr>
      <w:r w:rsidRPr="00790395">
        <w:rPr>
          <w:sz w:val="24"/>
          <w:szCs w:val="24"/>
          <w:lang w:val="sr-Latn-RS"/>
        </w:rPr>
        <w:t>Uvećanje fiskalnih prihoda</w:t>
      </w:r>
      <w:r w:rsidR="002C0A38">
        <w:rPr>
          <w:sz w:val="24"/>
          <w:szCs w:val="24"/>
          <w:lang w:val="sr-Latn-RS"/>
        </w:rPr>
        <w:t xml:space="preserve"> i </w:t>
      </w:r>
      <w:r w:rsidRPr="00790395">
        <w:rPr>
          <w:sz w:val="24"/>
          <w:szCs w:val="24"/>
          <w:lang w:val="sr-Latn-RS"/>
        </w:rPr>
        <w:t>pravednije raspodele resursa povećanjem progresivnih poreskih stopa kada je to neophodno,</w:t>
      </w:r>
      <w:r w:rsidR="002C0A38">
        <w:rPr>
          <w:sz w:val="24"/>
          <w:szCs w:val="24"/>
          <w:lang w:val="sr-Latn-RS"/>
        </w:rPr>
        <w:t xml:space="preserve"> i </w:t>
      </w:r>
      <w:r w:rsidRPr="00790395">
        <w:rPr>
          <w:sz w:val="24"/>
          <w:szCs w:val="24"/>
          <w:lang w:val="sr-Latn-RS"/>
        </w:rPr>
        <w:t>kroz umanjenje PDV-a na osnovne prehrambene</w:t>
      </w:r>
      <w:r w:rsidR="002C0A38">
        <w:rPr>
          <w:sz w:val="24"/>
          <w:szCs w:val="24"/>
          <w:lang w:val="sr-Latn-RS"/>
        </w:rPr>
        <w:t xml:space="preserve"> i </w:t>
      </w:r>
      <w:r w:rsidRPr="00790395">
        <w:rPr>
          <w:sz w:val="24"/>
          <w:szCs w:val="24"/>
          <w:lang w:val="sr-Latn-RS"/>
        </w:rPr>
        <w:t>neprehrambene proizvode neophodne za ostvarivanje prava, dostojanstvo,</w:t>
      </w:r>
      <w:r w:rsidR="002C0A38">
        <w:rPr>
          <w:sz w:val="24"/>
          <w:szCs w:val="24"/>
          <w:lang w:val="sr-Latn-RS"/>
        </w:rPr>
        <w:t xml:space="preserve"> i </w:t>
      </w:r>
      <w:r w:rsidRPr="00790395">
        <w:rPr>
          <w:sz w:val="24"/>
          <w:szCs w:val="24"/>
          <w:lang w:val="sr-Latn-RS"/>
        </w:rPr>
        <w:t>rodnu ravnopravnost.</w:t>
      </w:r>
      <w:r w:rsidR="008C0DA0" w:rsidRPr="00790395">
        <w:rPr>
          <w:sz w:val="24"/>
          <w:szCs w:val="24"/>
          <w:lang w:val="sr-Latn-RS"/>
        </w:rPr>
        <w:t xml:space="preserve"> </w:t>
      </w:r>
    </w:p>
    <w:p w14:paraId="2BEFD6C1" w14:textId="1C382EB4" w:rsidR="009B3885" w:rsidRPr="00790395" w:rsidRDefault="00F13AE6" w:rsidP="00627234">
      <w:pPr>
        <w:numPr>
          <w:ilvl w:val="0"/>
          <w:numId w:val="2"/>
        </w:numPr>
        <w:spacing w:before="100" w:beforeAutospacing="1" w:after="100" w:afterAutospacing="1" w:line="240" w:lineRule="auto"/>
        <w:jc w:val="both"/>
        <w:rPr>
          <w:sz w:val="24"/>
          <w:szCs w:val="24"/>
          <w:lang w:val="sr-Latn-RS"/>
        </w:rPr>
      </w:pPr>
      <w:r w:rsidRPr="00790395">
        <w:rPr>
          <w:sz w:val="24"/>
          <w:szCs w:val="24"/>
          <w:lang w:val="sr-Latn-RS"/>
        </w:rPr>
        <w:t>Unaprepređenje efikasnosti prikupljanja poreza</w:t>
      </w:r>
      <w:r w:rsidR="002C0A38">
        <w:rPr>
          <w:sz w:val="24"/>
          <w:szCs w:val="24"/>
          <w:lang w:val="sr-Latn-RS"/>
        </w:rPr>
        <w:t xml:space="preserve"> i </w:t>
      </w:r>
      <w:r w:rsidRPr="00790395">
        <w:rPr>
          <w:sz w:val="24"/>
          <w:szCs w:val="24"/>
          <w:lang w:val="sr-Latn-RS"/>
        </w:rPr>
        <w:t>borbu protiv utaje poreza u zemlji.</w:t>
      </w:r>
    </w:p>
    <w:p w14:paraId="5D4C4F97" w14:textId="77777777" w:rsidR="009B3885" w:rsidRPr="00790395" w:rsidRDefault="009B3885" w:rsidP="00627234">
      <w:pPr>
        <w:pBdr>
          <w:top w:val="nil"/>
          <w:left w:val="nil"/>
          <w:bottom w:val="nil"/>
          <w:right w:val="nil"/>
          <w:between w:val="nil"/>
        </w:pBdr>
        <w:spacing w:before="100" w:beforeAutospacing="1" w:after="100" w:afterAutospacing="1" w:line="240" w:lineRule="auto"/>
        <w:jc w:val="both"/>
        <w:rPr>
          <w:b/>
          <w:sz w:val="24"/>
          <w:szCs w:val="24"/>
          <w:lang w:val="sr-Latn-RS"/>
        </w:rPr>
      </w:pPr>
    </w:p>
    <w:sectPr w:rsidR="009B3885" w:rsidRPr="0079039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B2EE" w14:textId="77777777" w:rsidR="00691620" w:rsidRDefault="00691620">
      <w:pPr>
        <w:spacing w:after="0" w:line="240" w:lineRule="auto"/>
      </w:pPr>
      <w:r>
        <w:separator/>
      </w:r>
    </w:p>
  </w:endnote>
  <w:endnote w:type="continuationSeparator" w:id="0">
    <w:p w14:paraId="7C764482" w14:textId="77777777" w:rsidR="00691620" w:rsidRDefault="0069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A974" w14:textId="77777777" w:rsidR="009B3885" w:rsidRDefault="009B388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FEC4" w14:textId="77777777" w:rsidR="009B3885" w:rsidRDefault="008C0DA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830C5">
      <w:rPr>
        <w:noProof/>
        <w:color w:val="000000"/>
      </w:rPr>
      <w:t>1</w:t>
    </w:r>
    <w:r>
      <w:rPr>
        <w:color w:val="000000"/>
      </w:rPr>
      <w:fldChar w:fldCharType="end"/>
    </w:r>
  </w:p>
  <w:p w14:paraId="56116065" w14:textId="77777777" w:rsidR="009B3885" w:rsidRDefault="009B388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5DC2" w14:textId="77777777" w:rsidR="009B3885" w:rsidRDefault="009B388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4FF8" w14:textId="77777777" w:rsidR="00691620" w:rsidRDefault="00691620">
      <w:pPr>
        <w:spacing w:after="0" w:line="240" w:lineRule="auto"/>
      </w:pPr>
      <w:r>
        <w:separator/>
      </w:r>
    </w:p>
  </w:footnote>
  <w:footnote w:type="continuationSeparator" w:id="0">
    <w:p w14:paraId="0E926566" w14:textId="77777777" w:rsidR="00691620" w:rsidRDefault="00691620">
      <w:pPr>
        <w:spacing w:after="0" w:line="240" w:lineRule="auto"/>
      </w:pPr>
      <w:r>
        <w:continuationSeparator/>
      </w:r>
    </w:p>
  </w:footnote>
  <w:footnote w:id="1">
    <w:p w14:paraId="4D86F3B0" w14:textId="76B9F5E7" w:rsidR="008E3357" w:rsidRPr="00CE50C5" w:rsidRDefault="008E3357" w:rsidP="008E3357">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A 11 – Inicijativa za ekonomska</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 xml:space="preserve">socijalna prava, Prava drugog reda, Socijalna prava u svetlu mera štednje, str. 6, dostupno na: https://www.a11initiative.org/wp-content/uploads/2020/05/Prava-drugog-reda-Socijalna-prava-u-svetlu-mera-%C5%A1tednje-.pdf </w:t>
      </w:r>
    </w:p>
  </w:footnote>
  <w:footnote w:id="2">
    <w:p w14:paraId="7C6FB77B" w14:textId="55E2E5FA" w:rsidR="003517BC" w:rsidRPr="00CE50C5" w:rsidRDefault="003517BC" w:rsidP="003517BC">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Pismo predsedavajućeg Komiteta za ekonomska, socijalna</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kulturna prava, 16. maj 2012. godine.</w:t>
      </w:r>
    </w:p>
  </w:footnote>
  <w:footnote w:id="3">
    <w:p w14:paraId="032BB7BD" w14:textId="75031D31" w:rsidR="00E35018" w:rsidRPr="00CE50C5" w:rsidRDefault="00E35018" w:rsidP="00E35018">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Ustav Republike Srbije, </w:t>
      </w:r>
      <w:r w:rsidR="001244C3" w:rsidRPr="00CE50C5">
        <w:rPr>
          <w:rFonts w:asciiTheme="majorHAnsi" w:hAnsiTheme="majorHAnsi" w:cstheme="majorHAnsi"/>
          <w:color w:val="000000"/>
          <w:sz w:val="16"/>
          <w:szCs w:val="16"/>
          <w:lang w:val="sr-Latn-RS"/>
        </w:rPr>
        <w:t xml:space="preserve">"Sl. glasnik RS", </w:t>
      </w:r>
      <w:r w:rsidRPr="00CE50C5">
        <w:rPr>
          <w:rFonts w:asciiTheme="majorHAnsi" w:hAnsiTheme="majorHAnsi" w:cstheme="majorHAnsi"/>
          <w:sz w:val="16"/>
          <w:szCs w:val="16"/>
          <w:lang w:val="sr-Latn-RS"/>
        </w:rPr>
        <w:t xml:space="preserve">br. 98/2006, čl. 82. </w:t>
      </w:r>
    </w:p>
  </w:footnote>
  <w:footnote w:id="4">
    <w:p w14:paraId="3427A6BA" w14:textId="51A994C3" w:rsidR="009D35B2" w:rsidRPr="00CE50C5" w:rsidRDefault="009D35B2" w:rsidP="009D35B2">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Ustav Republike Srbije, </w:t>
      </w:r>
      <w:r w:rsidR="001244C3" w:rsidRPr="00CE50C5">
        <w:rPr>
          <w:rFonts w:asciiTheme="majorHAnsi" w:hAnsiTheme="majorHAnsi" w:cstheme="majorHAnsi"/>
          <w:color w:val="000000"/>
          <w:sz w:val="16"/>
          <w:szCs w:val="16"/>
          <w:lang w:val="sr-Latn-RS"/>
        </w:rPr>
        <w:t xml:space="preserve">"Sl. glasnik RS", </w:t>
      </w:r>
      <w:r w:rsidRPr="00CE50C5">
        <w:rPr>
          <w:rFonts w:asciiTheme="majorHAnsi" w:hAnsiTheme="majorHAnsi" w:cstheme="majorHAnsi"/>
          <w:sz w:val="16"/>
          <w:szCs w:val="16"/>
          <w:lang w:val="sr-Latn-RS"/>
        </w:rPr>
        <w:t>br. 98/2006, čl. 18 st. 3.</w:t>
      </w:r>
    </w:p>
  </w:footnote>
  <w:footnote w:id="5">
    <w:p w14:paraId="01D4E367" w14:textId="2266F534" w:rsidR="00435832" w:rsidRPr="00CE50C5" w:rsidRDefault="00435832" w:rsidP="00435832">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w:t>
      </w:r>
      <w:r w:rsidR="001244C3" w:rsidRPr="00CE50C5">
        <w:rPr>
          <w:rFonts w:asciiTheme="majorHAnsi" w:hAnsiTheme="majorHAnsi" w:cstheme="majorHAnsi"/>
          <w:color w:val="000000"/>
          <w:sz w:val="16"/>
          <w:szCs w:val="16"/>
          <w:lang w:val="sr-Latn-RS"/>
        </w:rPr>
        <w:t xml:space="preserve">"Sl. glasnik RS", </w:t>
      </w:r>
      <w:r w:rsidRPr="00CE50C5">
        <w:rPr>
          <w:rFonts w:asciiTheme="majorHAnsi" w:hAnsiTheme="majorHAnsi" w:cstheme="majorHAnsi"/>
          <w:color w:val="000000"/>
          <w:sz w:val="16"/>
          <w:szCs w:val="16"/>
          <w:lang w:val="sr-Latn-RS"/>
        </w:rPr>
        <w:t xml:space="preserve">br. 93/2012. </w:t>
      </w:r>
    </w:p>
  </w:footnote>
  <w:footnote w:id="6">
    <w:p w14:paraId="363320D4" w14:textId="5DA174E0" w:rsidR="00435832" w:rsidRPr="00CE50C5" w:rsidRDefault="00435832" w:rsidP="00435832">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w:t>
      </w:r>
      <w:r w:rsidR="001244C3" w:rsidRPr="00CE50C5">
        <w:rPr>
          <w:rFonts w:asciiTheme="majorHAnsi" w:hAnsiTheme="majorHAnsi" w:cstheme="majorHAnsi"/>
          <w:color w:val="000000"/>
          <w:sz w:val="16"/>
          <w:szCs w:val="16"/>
          <w:lang w:val="sr-Latn-RS"/>
        </w:rPr>
        <w:t xml:space="preserve">"Sl. glasnik RS", </w:t>
      </w:r>
      <w:r w:rsidRPr="00CE50C5">
        <w:rPr>
          <w:rFonts w:asciiTheme="majorHAnsi" w:hAnsiTheme="majorHAnsi" w:cstheme="majorHAnsi"/>
          <w:color w:val="000000"/>
          <w:sz w:val="16"/>
          <w:szCs w:val="16"/>
          <w:lang w:val="sr-Latn-RS"/>
        </w:rPr>
        <w:t xml:space="preserve">br. 47/2013. </w:t>
      </w:r>
    </w:p>
  </w:footnote>
  <w:footnote w:id="7">
    <w:p w14:paraId="5B0A0218" w14:textId="45807428" w:rsidR="00011DCC" w:rsidRPr="00CE50C5" w:rsidRDefault="00011DCC" w:rsidP="00011DCC">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w:t>
      </w:r>
      <w:r w:rsidR="001244C3" w:rsidRPr="00CE50C5">
        <w:rPr>
          <w:rFonts w:asciiTheme="majorHAnsi" w:hAnsiTheme="majorHAnsi" w:cstheme="majorHAnsi"/>
          <w:color w:val="000000"/>
          <w:sz w:val="16"/>
          <w:szCs w:val="16"/>
          <w:lang w:val="sr-Latn-RS"/>
        </w:rPr>
        <w:t xml:space="preserve">"Sl. glasnik RS", </w:t>
      </w:r>
      <w:r w:rsidRPr="00CE50C5">
        <w:rPr>
          <w:rFonts w:asciiTheme="majorHAnsi" w:hAnsiTheme="majorHAnsi" w:cstheme="majorHAnsi"/>
          <w:color w:val="000000"/>
          <w:sz w:val="16"/>
          <w:szCs w:val="16"/>
          <w:lang w:val="sr-Latn-RS"/>
        </w:rPr>
        <w:t>br. 116/2014</w:t>
      </w:r>
      <w:r w:rsidR="002C0A38" w:rsidRPr="00CE50C5">
        <w:rPr>
          <w:rFonts w:asciiTheme="majorHAnsi" w:hAnsiTheme="majorHAnsi" w:cstheme="majorHAnsi"/>
          <w:color w:val="000000"/>
          <w:sz w:val="16"/>
          <w:szCs w:val="16"/>
          <w:lang w:val="sr-Latn-RS"/>
        </w:rPr>
        <w:t xml:space="preserve"> i </w:t>
      </w:r>
      <w:r w:rsidRPr="00CE50C5">
        <w:rPr>
          <w:rFonts w:asciiTheme="majorHAnsi" w:hAnsiTheme="majorHAnsi" w:cstheme="majorHAnsi"/>
          <w:color w:val="000000"/>
          <w:sz w:val="16"/>
          <w:szCs w:val="16"/>
          <w:lang w:val="sr-Latn-RS"/>
        </w:rPr>
        <w:t xml:space="preserve">99/2016. </w:t>
      </w:r>
    </w:p>
  </w:footnote>
  <w:footnote w:id="8">
    <w:p w14:paraId="74AA9D83" w14:textId="5C3C4410" w:rsidR="00011DCC" w:rsidRPr="00CE50C5" w:rsidRDefault="00011DCC" w:rsidP="00011DCC">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w:t>
      </w:r>
      <w:r w:rsidR="001244C3" w:rsidRPr="00CE50C5">
        <w:rPr>
          <w:rFonts w:asciiTheme="majorHAnsi" w:hAnsiTheme="majorHAnsi" w:cstheme="majorHAnsi"/>
          <w:color w:val="000000"/>
          <w:sz w:val="16"/>
          <w:szCs w:val="16"/>
          <w:lang w:val="sr-Latn-RS"/>
        </w:rPr>
        <w:t xml:space="preserve">"Sl. glasnik RS", </w:t>
      </w:r>
      <w:r w:rsidRPr="00CE50C5">
        <w:rPr>
          <w:rFonts w:asciiTheme="majorHAnsi" w:hAnsiTheme="majorHAnsi" w:cstheme="majorHAnsi"/>
          <w:color w:val="000000"/>
          <w:sz w:val="16"/>
          <w:szCs w:val="16"/>
          <w:lang w:val="sr-Latn-RS"/>
        </w:rPr>
        <w:t xml:space="preserve">br.​​ 68/2015,​​ 81/2016​​ - Odluka US RS i​​ 95/2018. </w:t>
      </w:r>
    </w:p>
  </w:footnote>
  <w:footnote w:id="9">
    <w:p w14:paraId="059209DB" w14:textId="77777777" w:rsidR="0012768F" w:rsidRPr="00CE50C5" w:rsidRDefault="0012768F" w:rsidP="0012768F">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Za period od kraja 2013. godine do kraja 2016. godine. Ovaj Zakon je bio na snazi do kraja 2019. godine. </w:t>
      </w:r>
    </w:p>
  </w:footnote>
  <w:footnote w:id="10">
    <w:p w14:paraId="53558EBC" w14:textId="595E3273" w:rsidR="00D44B69" w:rsidRPr="00CE50C5" w:rsidRDefault="00D44B69" w:rsidP="00D44B69">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FemPlatz, A 11 – Inicijativa za ekonomska</w:t>
      </w:r>
      <w:r w:rsidR="002C0A38" w:rsidRPr="00CE50C5">
        <w:rPr>
          <w:rFonts w:asciiTheme="majorHAnsi" w:hAnsiTheme="majorHAnsi" w:cstheme="majorHAnsi"/>
          <w:color w:val="000000"/>
          <w:sz w:val="16"/>
          <w:szCs w:val="16"/>
          <w:lang w:val="sr-Latn-RS"/>
        </w:rPr>
        <w:t xml:space="preserve"> i </w:t>
      </w:r>
      <w:r w:rsidRPr="00CE50C5">
        <w:rPr>
          <w:rFonts w:asciiTheme="majorHAnsi" w:hAnsiTheme="majorHAnsi" w:cstheme="majorHAnsi"/>
          <w:color w:val="000000"/>
          <w:sz w:val="16"/>
          <w:szCs w:val="16"/>
          <w:lang w:val="sr-Latn-RS"/>
        </w:rPr>
        <w:t xml:space="preserve">socijalna prava, </w:t>
      </w:r>
      <w:r w:rsidRPr="00CE50C5">
        <w:rPr>
          <w:rFonts w:asciiTheme="majorHAnsi" w:hAnsiTheme="majorHAnsi" w:cstheme="majorHAnsi"/>
          <w:i/>
          <w:iCs/>
          <w:color w:val="000000"/>
          <w:sz w:val="16"/>
          <w:szCs w:val="16"/>
          <w:lang w:val="sr-Latn-RS"/>
        </w:rPr>
        <w:t>Uticaj politika ekonomske reforme na ženska ljudska prava</w:t>
      </w:r>
      <w:r w:rsidRPr="00CE50C5">
        <w:rPr>
          <w:rFonts w:asciiTheme="majorHAnsi" w:hAnsiTheme="majorHAnsi" w:cstheme="majorHAnsi"/>
          <w:color w:val="000000"/>
          <w:sz w:val="16"/>
          <w:szCs w:val="16"/>
          <w:lang w:val="sr-Latn-RS"/>
        </w:rPr>
        <w:t>, podnesak Nezavisnom ekspertu za strani dug</w:t>
      </w:r>
      <w:r w:rsidR="002C0A38" w:rsidRPr="00CE50C5">
        <w:rPr>
          <w:rFonts w:asciiTheme="majorHAnsi" w:hAnsiTheme="majorHAnsi" w:cstheme="majorHAnsi"/>
          <w:color w:val="000000"/>
          <w:sz w:val="16"/>
          <w:szCs w:val="16"/>
          <w:lang w:val="sr-Latn-RS"/>
        </w:rPr>
        <w:t xml:space="preserve"> i </w:t>
      </w:r>
      <w:r w:rsidRPr="00CE50C5">
        <w:rPr>
          <w:rFonts w:asciiTheme="majorHAnsi" w:hAnsiTheme="majorHAnsi" w:cstheme="majorHAnsi"/>
          <w:color w:val="000000"/>
          <w:sz w:val="16"/>
          <w:szCs w:val="16"/>
          <w:lang w:val="sr-Latn-RS"/>
        </w:rPr>
        <w:t xml:space="preserve">ljudska prava, Juan Pablo Bohoslavsky, dostupno na engleskom jeziku na: </w:t>
      </w:r>
      <w:hyperlink r:id="rId1">
        <w:r w:rsidRPr="00CE50C5">
          <w:rPr>
            <w:rFonts w:asciiTheme="majorHAnsi" w:hAnsiTheme="majorHAnsi" w:cstheme="majorHAnsi"/>
            <w:color w:val="0563C1"/>
            <w:sz w:val="16"/>
            <w:szCs w:val="16"/>
            <w:u w:val="single"/>
            <w:lang w:val="sr-Latn-RS"/>
          </w:rPr>
          <w:t>https://www.a11initiative.org/wp-content/uploads/2018/09/report-femplatzA11.pdf</w:t>
        </w:r>
      </w:hyperlink>
      <w:r w:rsidRPr="00CE50C5">
        <w:rPr>
          <w:rFonts w:asciiTheme="majorHAnsi" w:hAnsiTheme="majorHAnsi" w:cstheme="majorHAnsi"/>
          <w:color w:val="000000"/>
          <w:sz w:val="16"/>
          <w:szCs w:val="16"/>
          <w:lang w:val="sr-Latn-RS"/>
        </w:rPr>
        <w:t xml:space="preserve"> </w:t>
      </w:r>
    </w:p>
  </w:footnote>
  <w:footnote w:id="11">
    <w:p w14:paraId="6B7EFC3E" w14:textId="728205E0" w:rsidR="00617A36" w:rsidRPr="00CE50C5" w:rsidRDefault="00617A36" w:rsidP="00617A36">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w:t>
      </w:r>
      <w:r w:rsidR="00A41E6E" w:rsidRPr="00CE50C5">
        <w:rPr>
          <w:rFonts w:asciiTheme="majorHAnsi" w:hAnsiTheme="majorHAnsi" w:cstheme="majorHAnsi"/>
          <w:color w:val="000000"/>
          <w:sz w:val="16"/>
          <w:szCs w:val="16"/>
          <w:lang w:val="sr-Latn-RS"/>
        </w:rPr>
        <w:t xml:space="preserve">Republika Srbija - Republički zavod za statistiku, </w:t>
      </w:r>
      <w:r w:rsidR="00A41E6E" w:rsidRPr="00CE50C5">
        <w:rPr>
          <w:rFonts w:asciiTheme="majorHAnsi" w:hAnsiTheme="majorHAnsi" w:cstheme="majorHAnsi"/>
          <w:i/>
          <w:iCs/>
          <w:color w:val="000000"/>
          <w:sz w:val="16"/>
          <w:szCs w:val="16"/>
          <w:lang w:val="sr-Latn-RS"/>
        </w:rPr>
        <w:t>Žene</w:t>
      </w:r>
      <w:r w:rsidR="002C0A38" w:rsidRPr="00CE50C5">
        <w:rPr>
          <w:rFonts w:asciiTheme="majorHAnsi" w:hAnsiTheme="majorHAnsi" w:cstheme="majorHAnsi"/>
          <w:i/>
          <w:iCs/>
          <w:color w:val="000000"/>
          <w:sz w:val="16"/>
          <w:szCs w:val="16"/>
          <w:lang w:val="sr-Latn-RS"/>
        </w:rPr>
        <w:t xml:space="preserve"> i </w:t>
      </w:r>
      <w:r w:rsidR="00A41E6E" w:rsidRPr="00CE50C5">
        <w:rPr>
          <w:rFonts w:asciiTheme="majorHAnsi" w:hAnsiTheme="majorHAnsi" w:cstheme="majorHAnsi"/>
          <w:i/>
          <w:iCs/>
          <w:color w:val="000000"/>
          <w:sz w:val="16"/>
          <w:szCs w:val="16"/>
          <w:lang w:val="sr-Latn-RS"/>
        </w:rPr>
        <w:t>muškarci u Republici Srbiji</w:t>
      </w:r>
      <w:r w:rsidR="00A41E6E" w:rsidRPr="00CE50C5">
        <w:rPr>
          <w:rFonts w:asciiTheme="majorHAnsi" w:hAnsiTheme="majorHAnsi" w:cstheme="majorHAnsi"/>
          <w:color w:val="000000"/>
          <w:sz w:val="16"/>
          <w:szCs w:val="16"/>
          <w:lang w:val="sr-Latn-RS"/>
        </w:rPr>
        <w:t xml:space="preserve">, Beograd, 2017. godina, dostupno na: </w:t>
      </w:r>
      <w:hyperlink r:id="rId2" w:history="1">
        <w:r w:rsidR="00A41E6E" w:rsidRPr="00CE50C5">
          <w:rPr>
            <w:rStyle w:val="Hyperlink"/>
            <w:rFonts w:asciiTheme="majorHAnsi" w:hAnsiTheme="majorHAnsi" w:cstheme="majorHAnsi"/>
            <w:sz w:val="16"/>
            <w:szCs w:val="16"/>
            <w:lang w:val="sr-Latn-RS"/>
          </w:rPr>
          <w:t>https://publikacije.stat.gov.rs/G2017/Pdf/G20176008.pdf</w:t>
        </w:r>
      </w:hyperlink>
      <w:r w:rsidR="00A41E6E" w:rsidRPr="00CE50C5">
        <w:rPr>
          <w:rFonts w:asciiTheme="majorHAnsi" w:hAnsiTheme="majorHAnsi" w:cstheme="majorHAnsi"/>
          <w:color w:val="000000"/>
          <w:sz w:val="16"/>
          <w:szCs w:val="16"/>
          <w:lang w:val="sr-Latn-RS"/>
        </w:rPr>
        <w:t xml:space="preserve"> </w:t>
      </w:r>
    </w:p>
  </w:footnote>
  <w:footnote w:id="12">
    <w:p w14:paraId="57550572" w14:textId="31A85146" w:rsidR="0011105E" w:rsidRPr="00CE50C5" w:rsidRDefault="0011105E" w:rsidP="0011105E">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Jednokratna novčana pomoć je bila jednaka za sve penzionere, kako za one koji primaju najveće penzije</w:t>
      </w:r>
      <w:r w:rsidR="00512F13" w:rsidRPr="00CE50C5">
        <w:rPr>
          <w:rFonts w:asciiTheme="majorHAnsi" w:hAnsiTheme="majorHAnsi" w:cstheme="majorHAnsi"/>
          <w:sz w:val="16"/>
          <w:szCs w:val="16"/>
          <w:lang w:val="sr-Latn-RS"/>
        </w:rPr>
        <w:t>, tako</w:t>
      </w:r>
      <w:r w:rsidR="002C0A38" w:rsidRPr="00CE50C5">
        <w:rPr>
          <w:rFonts w:asciiTheme="majorHAnsi" w:hAnsiTheme="majorHAnsi" w:cstheme="majorHAnsi"/>
          <w:sz w:val="16"/>
          <w:szCs w:val="16"/>
          <w:lang w:val="sr-Latn-RS"/>
        </w:rPr>
        <w:t xml:space="preserve"> i </w:t>
      </w:r>
      <w:r w:rsidR="00512F13" w:rsidRPr="00CE50C5">
        <w:rPr>
          <w:rFonts w:asciiTheme="majorHAnsi" w:hAnsiTheme="majorHAnsi" w:cstheme="majorHAnsi"/>
          <w:sz w:val="16"/>
          <w:szCs w:val="16"/>
          <w:lang w:val="sr-Latn-RS"/>
        </w:rPr>
        <w:t xml:space="preserve">za one čije penzije su ispod nacionalnog proseka. Zbog toga su ova davanja </w:t>
      </w:r>
      <w:r w:rsidR="00E27462" w:rsidRPr="00CE50C5">
        <w:rPr>
          <w:rFonts w:asciiTheme="majorHAnsi" w:hAnsiTheme="majorHAnsi" w:cstheme="majorHAnsi"/>
          <w:sz w:val="16"/>
          <w:szCs w:val="16"/>
          <w:lang w:val="sr-Latn-RS"/>
        </w:rPr>
        <w:t>pogoršala</w:t>
      </w:r>
      <w:r w:rsidR="002C0A38" w:rsidRPr="00CE50C5">
        <w:rPr>
          <w:rFonts w:asciiTheme="majorHAnsi" w:hAnsiTheme="majorHAnsi" w:cstheme="majorHAnsi"/>
          <w:sz w:val="16"/>
          <w:szCs w:val="16"/>
          <w:lang w:val="sr-Latn-RS"/>
        </w:rPr>
        <w:t xml:space="preserve"> i </w:t>
      </w:r>
      <w:r w:rsidR="00E27462" w:rsidRPr="00CE50C5">
        <w:rPr>
          <w:rFonts w:asciiTheme="majorHAnsi" w:hAnsiTheme="majorHAnsi" w:cstheme="majorHAnsi"/>
          <w:sz w:val="16"/>
          <w:szCs w:val="16"/>
          <w:lang w:val="sr-Latn-RS"/>
        </w:rPr>
        <w:t>produbila nejednakosti u primanjima među ovom grupom, ne uzimajući u obzir specifičnu ugroženost penzionera čije čije su penzije ispod nacionalnog proseka.</w:t>
      </w:r>
      <w:r w:rsidRPr="00CE50C5">
        <w:rPr>
          <w:rFonts w:asciiTheme="majorHAnsi" w:hAnsiTheme="majorHAnsi" w:cstheme="majorHAnsi"/>
          <w:sz w:val="16"/>
          <w:szCs w:val="16"/>
          <w:lang w:val="sr-Latn-RS"/>
        </w:rPr>
        <w:t xml:space="preserve"> </w:t>
      </w:r>
    </w:p>
  </w:footnote>
  <w:footnote w:id="13">
    <w:p w14:paraId="511F3C5E" w14:textId="1742B5D5" w:rsidR="000A476E" w:rsidRPr="00CE50C5" w:rsidRDefault="000A476E" w:rsidP="000A476E">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Organizacija za ekonomsku saradnju</w:t>
      </w:r>
      <w:r w:rsidR="002C0A38" w:rsidRPr="00CE50C5">
        <w:rPr>
          <w:rFonts w:asciiTheme="majorHAnsi" w:hAnsiTheme="majorHAnsi" w:cstheme="majorHAnsi"/>
          <w:color w:val="000000"/>
          <w:sz w:val="16"/>
          <w:szCs w:val="16"/>
          <w:lang w:val="sr-Latn-RS"/>
        </w:rPr>
        <w:t xml:space="preserve"> i </w:t>
      </w:r>
      <w:r w:rsidRPr="00CE50C5">
        <w:rPr>
          <w:rFonts w:asciiTheme="majorHAnsi" w:hAnsiTheme="majorHAnsi" w:cstheme="majorHAnsi"/>
          <w:color w:val="000000"/>
          <w:sz w:val="16"/>
          <w:szCs w:val="16"/>
          <w:lang w:val="sr-Latn-RS"/>
        </w:rPr>
        <w:t>razvoj</w:t>
      </w:r>
      <w:r w:rsidR="00B44138" w:rsidRPr="00CE50C5">
        <w:rPr>
          <w:rFonts w:asciiTheme="majorHAnsi" w:hAnsiTheme="majorHAnsi" w:cstheme="majorHAnsi"/>
          <w:color w:val="000000"/>
          <w:sz w:val="16"/>
          <w:szCs w:val="16"/>
          <w:lang w:val="sr-Latn-RS"/>
        </w:rPr>
        <w:t xml:space="preserve"> (OECD)</w:t>
      </w:r>
      <w:r w:rsidRPr="00CE50C5">
        <w:rPr>
          <w:rFonts w:asciiTheme="majorHAnsi" w:hAnsiTheme="majorHAnsi" w:cstheme="majorHAnsi"/>
          <w:color w:val="000000"/>
          <w:sz w:val="16"/>
          <w:szCs w:val="16"/>
          <w:lang w:val="sr-Latn-RS"/>
        </w:rPr>
        <w:t xml:space="preserve"> 2021,</w:t>
      </w:r>
      <w:r w:rsidRPr="00CE50C5">
        <w:rPr>
          <w:rFonts w:asciiTheme="majorHAnsi" w:hAnsiTheme="majorHAnsi" w:cstheme="majorHAnsi"/>
          <w:i/>
          <w:iCs/>
          <w:color w:val="000000"/>
          <w:sz w:val="16"/>
          <w:szCs w:val="16"/>
          <w:lang w:val="sr-Latn-RS"/>
        </w:rPr>
        <w:t xml:space="preserve"> Oporezivanje nasledstva u OECD zemljama</w:t>
      </w:r>
      <w:r w:rsidRPr="00CE50C5">
        <w:rPr>
          <w:rFonts w:asciiTheme="majorHAnsi" w:hAnsiTheme="majorHAnsi" w:cstheme="majorHAnsi"/>
          <w:color w:val="000000"/>
          <w:sz w:val="16"/>
          <w:szCs w:val="16"/>
          <w:lang w:val="sr-Latn-RS"/>
        </w:rPr>
        <w:t xml:space="preserve">, OECD Tax Policy Studies, No. 28, OECD Publishing, </w:t>
      </w:r>
      <w:r w:rsidR="00B44138" w:rsidRPr="00CE50C5">
        <w:rPr>
          <w:rFonts w:asciiTheme="majorHAnsi" w:hAnsiTheme="majorHAnsi" w:cstheme="majorHAnsi"/>
          <w:color w:val="000000"/>
          <w:sz w:val="16"/>
          <w:szCs w:val="16"/>
          <w:lang w:val="sr-Latn-RS"/>
        </w:rPr>
        <w:t>Pariz</w:t>
      </w:r>
      <w:r w:rsidRPr="00CE50C5">
        <w:rPr>
          <w:rFonts w:asciiTheme="majorHAnsi" w:hAnsiTheme="majorHAnsi" w:cstheme="majorHAnsi"/>
          <w:color w:val="000000"/>
          <w:sz w:val="16"/>
          <w:szCs w:val="16"/>
          <w:lang w:val="sr-Latn-RS"/>
        </w:rPr>
        <w:t>,</w:t>
      </w:r>
      <w:r w:rsidR="00B44138" w:rsidRPr="00CE50C5">
        <w:rPr>
          <w:rFonts w:asciiTheme="majorHAnsi" w:hAnsiTheme="majorHAnsi" w:cstheme="majorHAnsi"/>
          <w:color w:val="000000"/>
          <w:sz w:val="16"/>
          <w:szCs w:val="16"/>
          <w:lang w:val="sr-Latn-RS"/>
        </w:rPr>
        <w:t xml:space="preserve"> dostupno na engleskom jeziku na:</w:t>
      </w:r>
      <w:r w:rsidRPr="00CE50C5">
        <w:rPr>
          <w:rFonts w:asciiTheme="majorHAnsi" w:hAnsiTheme="majorHAnsi" w:cstheme="majorHAnsi"/>
          <w:color w:val="000000"/>
          <w:sz w:val="16"/>
          <w:szCs w:val="16"/>
          <w:lang w:val="sr-Latn-RS"/>
        </w:rPr>
        <w:t xml:space="preserve"> </w:t>
      </w:r>
      <w:hyperlink r:id="rId3">
        <w:r w:rsidRPr="00CE50C5">
          <w:rPr>
            <w:rFonts w:asciiTheme="majorHAnsi" w:hAnsiTheme="majorHAnsi" w:cstheme="majorHAnsi"/>
            <w:color w:val="1155CC"/>
            <w:sz w:val="16"/>
            <w:szCs w:val="16"/>
            <w:u w:val="single"/>
            <w:lang w:val="sr-Latn-RS"/>
          </w:rPr>
          <w:t>https://doi.org/10.1787/e2879a7d-en</w:t>
        </w:r>
      </w:hyperlink>
      <w:r w:rsidRPr="00CE50C5">
        <w:rPr>
          <w:rFonts w:asciiTheme="majorHAnsi" w:hAnsiTheme="majorHAnsi" w:cstheme="majorHAnsi"/>
          <w:color w:val="000000"/>
          <w:sz w:val="16"/>
          <w:szCs w:val="16"/>
          <w:lang w:val="sr-Latn-RS"/>
        </w:rPr>
        <w:t xml:space="preserve"> </w:t>
      </w:r>
    </w:p>
  </w:footnote>
  <w:footnote w:id="14">
    <w:p w14:paraId="3B6B1381" w14:textId="646235B6" w:rsidR="009B3885" w:rsidRPr="00CE50C5" w:rsidRDefault="008C0DA0">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w:t>
      </w:r>
      <w:r w:rsidR="000A476E" w:rsidRPr="00CE50C5">
        <w:rPr>
          <w:rFonts w:asciiTheme="majorHAnsi" w:hAnsiTheme="majorHAnsi" w:cstheme="majorHAnsi"/>
          <w:color w:val="000000"/>
          <w:sz w:val="16"/>
          <w:szCs w:val="16"/>
          <w:lang w:val="sr-Latn-RS"/>
        </w:rPr>
        <w:t>Prosek za period od</w:t>
      </w:r>
      <w:r w:rsidRPr="00CE50C5">
        <w:rPr>
          <w:rFonts w:asciiTheme="majorHAnsi" w:hAnsiTheme="majorHAnsi" w:cstheme="majorHAnsi"/>
          <w:color w:val="000000"/>
          <w:sz w:val="16"/>
          <w:szCs w:val="16"/>
          <w:lang w:val="sr-Latn-RS"/>
        </w:rPr>
        <w:t xml:space="preserve"> 2012</w:t>
      </w:r>
      <w:r w:rsidR="000A476E" w:rsidRPr="00CE50C5">
        <w:rPr>
          <w:rFonts w:asciiTheme="majorHAnsi" w:hAnsiTheme="majorHAnsi" w:cstheme="majorHAnsi"/>
          <w:color w:val="000000"/>
          <w:sz w:val="16"/>
          <w:szCs w:val="16"/>
          <w:lang w:val="sr-Latn-RS"/>
        </w:rPr>
        <w:t>.</w:t>
      </w:r>
      <w:r w:rsidRPr="00CE50C5">
        <w:rPr>
          <w:rFonts w:asciiTheme="majorHAnsi" w:hAnsiTheme="majorHAnsi" w:cstheme="majorHAnsi"/>
          <w:color w:val="000000"/>
          <w:sz w:val="16"/>
          <w:szCs w:val="16"/>
          <w:lang w:val="sr-Latn-RS"/>
        </w:rPr>
        <w:t xml:space="preserve"> -2020.</w:t>
      </w:r>
      <w:r w:rsidR="000A476E" w:rsidRPr="00CE50C5">
        <w:rPr>
          <w:rFonts w:asciiTheme="majorHAnsi" w:hAnsiTheme="majorHAnsi" w:cstheme="majorHAnsi"/>
          <w:color w:val="000000"/>
          <w:sz w:val="16"/>
          <w:szCs w:val="16"/>
          <w:lang w:val="sr-Latn-RS"/>
        </w:rPr>
        <w:t xml:space="preserve"> godine. Za više informacija, pogledajte Bilten javnih finansija Ministarstva finansija, dostupan na:</w:t>
      </w:r>
    </w:p>
    <w:p w14:paraId="15D8079E" w14:textId="77777777" w:rsidR="009B3885" w:rsidRPr="00CE50C5" w:rsidRDefault="00691620">
      <w:pPr>
        <w:pBdr>
          <w:top w:val="nil"/>
          <w:left w:val="nil"/>
          <w:bottom w:val="nil"/>
          <w:right w:val="nil"/>
          <w:between w:val="nil"/>
        </w:pBdr>
        <w:spacing w:after="0" w:line="240" w:lineRule="auto"/>
        <w:rPr>
          <w:rFonts w:asciiTheme="majorHAnsi" w:hAnsiTheme="majorHAnsi" w:cstheme="majorHAnsi"/>
          <w:sz w:val="16"/>
          <w:szCs w:val="16"/>
          <w:lang w:val="sr-Latn-RS"/>
        </w:rPr>
      </w:pPr>
      <w:hyperlink r:id="rId4">
        <w:r w:rsidR="008C0DA0" w:rsidRPr="00CE50C5">
          <w:rPr>
            <w:rFonts w:asciiTheme="majorHAnsi" w:hAnsiTheme="majorHAnsi" w:cstheme="majorHAnsi"/>
            <w:color w:val="1155CC"/>
            <w:sz w:val="16"/>
            <w:szCs w:val="16"/>
            <w:u w:val="single"/>
            <w:lang w:val="sr-Latn-RS"/>
          </w:rPr>
          <w:t>https://www.mfin.gov.rs/aktivnosti/bilten-javnih-finansija-za-mesec-oktobar-2021</w:t>
        </w:r>
      </w:hyperlink>
      <w:r w:rsidR="008C0DA0" w:rsidRPr="00CE50C5">
        <w:rPr>
          <w:rFonts w:asciiTheme="majorHAnsi" w:hAnsiTheme="majorHAnsi" w:cstheme="majorHAnsi"/>
          <w:sz w:val="16"/>
          <w:szCs w:val="16"/>
          <w:lang w:val="sr-Latn-RS"/>
        </w:rPr>
        <w:t xml:space="preserve"> </w:t>
      </w:r>
    </w:p>
  </w:footnote>
  <w:footnote w:id="15">
    <w:p w14:paraId="24DBA8E7" w14:textId="26DB319D" w:rsidR="003627CF" w:rsidRPr="00CE50C5" w:rsidRDefault="003627CF" w:rsidP="003627CF">
      <w:pPr>
        <w:pBdr>
          <w:top w:val="nil"/>
          <w:left w:val="nil"/>
          <w:bottom w:val="nil"/>
          <w:right w:val="nil"/>
          <w:between w:val="nil"/>
        </w:pBdr>
        <w:spacing w:after="0" w:line="240" w:lineRule="auto"/>
        <w:rPr>
          <w:rFonts w:asciiTheme="majorHAnsi" w:hAnsiTheme="majorHAnsi" w:cstheme="majorHAnsi"/>
          <w:b/>
          <w:bCs/>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"Sl. glasnik RS", br. 24/2001, 80/2002, 80/2002 - dr. zakon, 135/2004, 62/2006, 65/2006 - ispr., 31/2009, 44/2009, 18/2010, 50/2011, 91/2011 - odluka US, 7/2012 - usklađeni din. izn., 93/2012, 114/2012 - odluka US, 8/2013 - usklađeni din. izn., 47/2013, 48/2013 - ispr., 108/2013, 6/2014 - usklađeni din. izn., 57/2014, 68/2014 - dr. zakon, 5/2015 - usklađeni din. izn., 112/2015, 5/2016 - usklađeni din. izn., 7/2017 - usklađeni din. izn., 113/2017, 7/2018 - usklađeni din. izn., 95/2018, 4/2019 - usklađeni din. izn., 86/2019, 5/2020 - usklađeni din. izn., 153/2020, 156/2020 - usklađeni din. izn., 6/2021 - usklađeni din. izn., 44/2021, 118/2021, 132/2021 - usklađeni din. izn.</w:t>
      </w:r>
      <w:r w:rsidR="002C0A38" w:rsidRPr="00CE50C5">
        <w:rPr>
          <w:rFonts w:asciiTheme="majorHAnsi" w:hAnsiTheme="majorHAnsi" w:cstheme="majorHAnsi"/>
          <w:color w:val="000000"/>
          <w:sz w:val="16"/>
          <w:szCs w:val="16"/>
          <w:lang w:val="sr-Latn-RS"/>
        </w:rPr>
        <w:t xml:space="preserve"> i </w:t>
      </w:r>
      <w:r w:rsidRPr="00CE50C5">
        <w:rPr>
          <w:rFonts w:asciiTheme="majorHAnsi" w:hAnsiTheme="majorHAnsi" w:cstheme="majorHAnsi"/>
          <w:color w:val="000000"/>
          <w:sz w:val="16"/>
          <w:szCs w:val="16"/>
          <w:lang w:val="sr-Latn-RS"/>
        </w:rPr>
        <w:t>10/2022 - usklađeni din. izn.</w:t>
      </w:r>
    </w:p>
  </w:footnote>
  <w:footnote w:id="16">
    <w:p w14:paraId="50E18C4D" w14:textId="77777777" w:rsidR="006D39A0" w:rsidRPr="00CE50C5" w:rsidRDefault="006D39A0" w:rsidP="006D39A0">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Komitet pravnika za ljudska prava – YUCOM, </w:t>
      </w:r>
      <w:hyperlink r:id="rId5">
        <w:r w:rsidRPr="00CE50C5">
          <w:rPr>
            <w:rFonts w:asciiTheme="majorHAnsi" w:hAnsiTheme="majorHAnsi" w:cstheme="majorHAnsi"/>
            <w:color w:val="0563C1"/>
            <w:sz w:val="16"/>
            <w:szCs w:val="16"/>
            <w:u w:val="single"/>
            <w:lang w:val="sr-Latn-RS"/>
          </w:rPr>
          <w:t>http://www.yucom.org.rs/podneta-inicijativa-za-ocenu-ustavnosti-odredbe-zakona-o-porezi-ma-na-imovinu-koji-uvodi-porez-na-siromastvo/</w:t>
        </w:r>
      </w:hyperlink>
      <w:r w:rsidRPr="00CE50C5">
        <w:rPr>
          <w:rFonts w:asciiTheme="majorHAnsi" w:hAnsiTheme="majorHAnsi" w:cstheme="majorHAnsi"/>
          <w:color w:val="000000"/>
          <w:sz w:val="16"/>
          <w:szCs w:val="16"/>
          <w:lang w:val="sr-Latn-RS"/>
        </w:rPr>
        <w:t xml:space="preserve"> </w:t>
      </w:r>
    </w:p>
  </w:footnote>
  <w:footnote w:id="17">
    <w:p w14:paraId="676DF279" w14:textId="3EBB60C7" w:rsidR="006D39A0" w:rsidRPr="00CE50C5" w:rsidRDefault="006D39A0" w:rsidP="006D39A0">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Komitet za ekonomska, socijalna</w:t>
      </w:r>
      <w:r w:rsidR="002C0A38" w:rsidRPr="00CE50C5">
        <w:rPr>
          <w:rFonts w:asciiTheme="majorHAnsi" w:hAnsiTheme="majorHAnsi" w:cstheme="majorHAnsi"/>
          <w:color w:val="000000"/>
          <w:sz w:val="16"/>
          <w:szCs w:val="16"/>
          <w:lang w:val="sr-Latn-RS"/>
        </w:rPr>
        <w:t xml:space="preserve"> i </w:t>
      </w:r>
      <w:r w:rsidRPr="00CE50C5">
        <w:rPr>
          <w:rFonts w:asciiTheme="majorHAnsi" w:hAnsiTheme="majorHAnsi" w:cstheme="majorHAnsi"/>
          <w:color w:val="000000"/>
          <w:sz w:val="16"/>
          <w:szCs w:val="16"/>
          <w:lang w:val="sr-Latn-RS"/>
        </w:rPr>
        <w:t xml:space="preserve">kulturna prava, Šesta sednica (1991), Opšti komentar br. 4: Pravo na adekvatno stanovanje (Član 11, </w:t>
      </w:r>
      <w:r w:rsidR="005652F5" w:rsidRPr="00CE50C5">
        <w:rPr>
          <w:rFonts w:asciiTheme="majorHAnsi" w:hAnsiTheme="majorHAnsi" w:cstheme="majorHAnsi"/>
          <w:color w:val="000000"/>
          <w:sz w:val="16"/>
          <w:szCs w:val="16"/>
          <w:lang w:val="sr-Latn-RS"/>
        </w:rPr>
        <w:t>stav</w:t>
      </w:r>
      <w:r w:rsidRPr="00CE50C5">
        <w:rPr>
          <w:rFonts w:asciiTheme="majorHAnsi" w:hAnsiTheme="majorHAnsi" w:cstheme="majorHAnsi"/>
          <w:color w:val="000000"/>
          <w:sz w:val="16"/>
          <w:szCs w:val="16"/>
          <w:lang w:val="sr-Latn-RS"/>
        </w:rPr>
        <w:t xml:space="preserve"> 1</w:t>
      </w:r>
      <w:r w:rsidR="005652F5" w:rsidRPr="00CE50C5">
        <w:rPr>
          <w:rFonts w:asciiTheme="majorHAnsi" w:hAnsiTheme="majorHAnsi" w:cstheme="majorHAnsi"/>
          <w:color w:val="000000"/>
          <w:sz w:val="16"/>
          <w:szCs w:val="16"/>
          <w:lang w:val="sr-Latn-RS"/>
        </w:rPr>
        <w:t xml:space="preserve"> Pakta</w:t>
      </w:r>
      <w:r w:rsidRPr="00CE50C5">
        <w:rPr>
          <w:rFonts w:asciiTheme="majorHAnsi" w:hAnsiTheme="majorHAnsi" w:cstheme="majorHAnsi"/>
          <w:color w:val="000000"/>
          <w:sz w:val="16"/>
          <w:szCs w:val="16"/>
          <w:lang w:val="sr-Latn-RS"/>
        </w:rPr>
        <w:t xml:space="preserve">), </w:t>
      </w:r>
      <w:r w:rsidR="005652F5" w:rsidRPr="00CE50C5">
        <w:rPr>
          <w:rFonts w:asciiTheme="majorHAnsi" w:hAnsiTheme="majorHAnsi" w:cstheme="majorHAnsi"/>
          <w:color w:val="000000"/>
          <w:sz w:val="16"/>
          <w:szCs w:val="16"/>
          <w:lang w:val="sr-Latn-RS"/>
        </w:rPr>
        <w:t>pasus</w:t>
      </w:r>
      <w:r w:rsidRPr="00CE50C5">
        <w:rPr>
          <w:rFonts w:asciiTheme="majorHAnsi" w:hAnsiTheme="majorHAnsi" w:cstheme="majorHAnsi"/>
          <w:color w:val="000000"/>
          <w:sz w:val="16"/>
          <w:szCs w:val="16"/>
          <w:lang w:val="sr-Latn-RS"/>
        </w:rPr>
        <w:t xml:space="preserve"> 8</w:t>
      </w:r>
      <w:r w:rsidR="005652F5" w:rsidRPr="00CE50C5">
        <w:rPr>
          <w:rFonts w:asciiTheme="majorHAnsi" w:hAnsiTheme="majorHAnsi" w:cstheme="majorHAnsi"/>
          <w:color w:val="000000"/>
          <w:sz w:val="16"/>
          <w:szCs w:val="16"/>
          <w:lang w:val="sr-Latn-RS"/>
        </w:rPr>
        <w:t>(</w:t>
      </w:r>
      <w:r w:rsidRPr="00CE50C5">
        <w:rPr>
          <w:rFonts w:asciiTheme="majorHAnsi" w:hAnsiTheme="majorHAnsi" w:cstheme="majorHAnsi"/>
          <w:color w:val="000000"/>
          <w:sz w:val="16"/>
          <w:szCs w:val="16"/>
          <w:lang w:val="sr-Latn-RS"/>
        </w:rPr>
        <w:t>c</w:t>
      </w:r>
      <w:r w:rsidR="005652F5" w:rsidRPr="00CE50C5">
        <w:rPr>
          <w:rFonts w:asciiTheme="majorHAnsi" w:hAnsiTheme="majorHAnsi" w:cstheme="majorHAnsi"/>
          <w:color w:val="000000"/>
          <w:sz w:val="16"/>
          <w:szCs w:val="16"/>
          <w:lang w:val="sr-Latn-RS"/>
        </w:rPr>
        <w:t>)</w:t>
      </w:r>
    </w:p>
  </w:footnote>
  <w:footnote w:id="18">
    <w:p w14:paraId="1AAE40B2" w14:textId="7433B3F3" w:rsidR="005652F5" w:rsidRPr="00CE50C5" w:rsidRDefault="005652F5" w:rsidP="005652F5">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Specijalni izvestilac Ujedinjenih nacija za pravo na adekvatno stanovanje, </w:t>
      </w:r>
      <w:r w:rsidRPr="00CE50C5">
        <w:rPr>
          <w:rFonts w:asciiTheme="majorHAnsi" w:hAnsiTheme="majorHAnsi" w:cstheme="majorHAnsi"/>
          <w:i/>
          <w:iCs/>
          <w:color w:val="000000"/>
          <w:sz w:val="16"/>
          <w:szCs w:val="16"/>
          <w:lang w:val="sr-Latn-RS"/>
        </w:rPr>
        <w:t>Izveštaj o poseti Srbiji</w:t>
      </w:r>
      <w:r w:rsidR="002C0A38" w:rsidRPr="00CE50C5">
        <w:rPr>
          <w:rFonts w:asciiTheme="majorHAnsi" w:hAnsiTheme="majorHAnsi" w:cstheme="majorHAnsi"/>
          <w:i/>
          <w:iCs/>
          <w:color w:val="000000"/>
          <w:sz w:val="16"/>
          <w:szCs w:val="16"/>
          <w:lang w:val="sr-Latn-RS"/>
        </w:rPr>
        <w:t xml:space="preserve"> i </w:t>
      </w:r>
      <w:r w:rsidRPr="00CE50C5">
        <w:rPr>
          <w:rFonts w:asciiTheme="majorHAnsi" w:hAnsiTheme="majorHAnsi" w:cstheme="majorHAnsi"/>
          <w:i/>
          <w:iCs/>
          <w:color w:val="000000"/>
          <w:sz w:val="16"/>
          <w:szCs w:val="16"/>
          <w:lang w:val="sr-Latn-RS"/>
        </w:rPr>
        <w:t>Kosovu</w:t>
      </w:r>
      <w:r w:rsidRPr="00CE50C5">
        <w:rPr>
          <w:rFonts w:asciiTheme="majorHAnsi" w:hAnsiTheme="majorHAnsi" w:cstheme="majorHAnsi"/>
          <w:color w:val="000000"/>
          <w:sz w:val="16"/>
          <w:szCs w:val="16"/>
          <w:lang w:val="sr-Latn-RS"/>
        </w:rPr>
        <w:t>, 26. februar 2016. godine,</w:t>
      </w:r>
      <w:r w:rsidR="002215E8" w:rsidRPr="00CE50C5">
        <w:rPr>
          <w:rFonts w:asciiTheme="majorHAnsi" w:hAnsiTheme="majorHAnsi" w:cstheme="majorHAnsi"/>
          <w:color w:val="000000"/>
          <w:sz w:val="16"/>
          <w:szCs w:val="16"/>
          <w:lang w:val="sr-Latn-RS"/>
        </w:rPr>
        <w:t xml:space="preserve"> </w:t>
      </w:r>
      <w:r w:rsidRPr="00CE50C5">
        <w:rPr>
          <w:rFonts w:asciiTheme="majorHAnsi" w:hAnsiTheme="majorHAnsi" w:cstheme="majorHAnsi"/>
          <w:color w:val="000000"/>
          <w:sz w:val="16"/>
          <w:szCs w:val="16"/>
          <w:lang w:val="sr-Latn-RS"/>
        </w:rPr>
        <w:t>A/HRC/31/54/Add.2, pasusi 33–37</w:t>
      </w:r>
      <w:r w:rsidR="002C0A38" w:rsidRPr="00CE50C5">
        <w:rPr>
          <w:rFonts w:asciiTheme="majorHAnsi" w:hAnsiTheme="majorHAnsi" w:cstheme="majorHAnsi"/>
          <w:color w:val="000000"/>
          <w:sz w:val="16"/>
          <w:szCs w:val="16"/>
          <w:lang w:val="sr-Latn-RS"/>
        </w:rPr>
        <w:t xml:space="preserve"> i </w:t>
      </w:r>
      <w:r w:rsidRPr="00CE50C5">
        <w:rPr>
          <w:rFonts w:asciiTheme="majorHAnsi" w:hAnsiTheme="majorHAnsi" w:cstheme="majorHAnsi"/>
          <w:color w:val="000000"/>
          <w:sz w:val="16"/>
          <w:szCs w:val="16"/>
          <w:lang w:val="sr-Latn-RS"/>
        </w:rPr>
        <w:t xml:space="preserve">100(c). </w:t>
      </w:r>
    </w:p>
  </w:footnote>
  <w:footnote w:id="19">
    <w:p w14:paraId="4DC3E23D" w14:textId="17ED2A1E" w:rsidR="00790395" w:rsidRPr="00CE50C5" w:rsidRDefault="00790395" w:rsidP="00790395">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Fiskalni savet Republike Srbije. </w:t>
      </w:r>
    </w:p>
  </w:footnote>
  <w:footnote w:id="20">
    <w:p w14:paraId="7B9BDD0E" w14:textId="59BB0B6D" w:rsidR="00CE0B50" w:rsidRPr="00CE50C5" w:rsidRDefault="00CE0B50" w:rsidP="00CE0B50">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Fiskalni savet Repu</w:t>
      </w:r>
      <w:r w:rsidR="00754649" w:rsidRPr="00CE50C5">
        <w:rPr>
          <w:rFonts w:asciiTheme="majorHAnsi" w:hAnsiTheme="majorHAnsi" w:cstheme="majorHAnsi"/>
          <w:color w:val="000000"/>
          <w:sz w:val="16"/>
          <w:szCs w:val="16"/>
          <w:lang w:val="sr-Latn-RS"/>
        </w:rPr>
        <w:t>b</w:t>
      </w:r>
      <w:r w:rsidRPr="00CE50C5">
        <w:rPr>
          <w:rFonts w:asciiTheme="majorHAnsi" w:hAnsiTheme="majorHAnsi" w:cstheme="majorHAnsi"/>
          <w:color w:val="000000"/>
          <w:sz w:val="16"/>
          <w:szCs w:val="16"/>
          <w:lang w:val="sr-Latn-RS"/>
        </w:rPr>
        <w:t xml:space="preserve">like Srbije, </w:t>
      </w:r>
      <w:r w:rsidR="00754649" w:rsidRPr="00CE50C5">
        <w:rPr>
          <w:rFonts w:asciiTheme="majorHAnsi" w:hAnsiTheme="majorHAnsi" w:cstheme="majorHAnsi"/>
          <w:i/>
          <w:iCs/>
          <w:color w:val="000000"/>
          <w:sz w:val="16"/>
          <w:szCs w:val="16"/>
          <w:lang w:val="sr-Latn-RS"/>
        </w:rPr>
        <w:t xml:space="preserve">Ocena predloga Zakona o budžetu Republike Srbije za 2022. </w:t>
      </w:r>
      <w:r w:rsidR="00754649" w:rsidRPr="00CE50C5">
        <w:rPr>
          <w:rFonts w:asciiTheme="majorHAnsi" w:hAnsiTheme="majorHAnsi" w:cstheme="majorHAnsi"/>
          <w:color w:val="000000"/>
          <w:sz w:val="16"/>
          <w:szCs w:val="16"/>
          <w:lang w:val="sr-Latn-RS"/>
        </w:rPr>
        <w:t xml:space="preserve">godinu, srt. 38-39, dostupno na: </w:t>
      </w:r>
      <w:hyperlink r:id="rId6" w:history="1">
        <w:r w:rsidR="00754649" w:rsidRPr="00CE50C5">
          <w:rPr>
            <w:rStyle w:val="Hyperlink"/>
            <w:rFonts w:asciiTheme="majorHAnsi" w:hAnsiTheme="majorHAnsi" w:cstheme="majorHAnsi"/>
            <w:sz w:val="16"/>
            <w:szCs w:val="16"/>
            <w:lang w:val="sr-Latn-RS"/>
          </w:rPr>
          <w:t>http://www.fiskalnisavet.rs/doc/ocene-i-misljenja/2021/FS_Ocena_Predloga_budzeta_za_2022.pdf</w:t>
        </w:r>
      </w:hyperlink>
      <w:r w:rsidR="00754649" w:rsidRPr="00CE50C5">
        <w:rPr>
          <w:rFonts w:asciiTheme="majorHAnsi" w:hAnsiTheme="majorHAnsi" w:cstheme="majorHAnsi"/>
          <w:color w:val="000000"/>
          <w:sz w:val="16"/>
          <w:szCs w:val="16"/>
          <w:lang w:val="sr-Latn-RS"/>
        </w:rPr>
        <w:t xml:space="preserve"> </w:t>
      </w:r>
    </w:p>
  </w:footnote>
  <w:footnote w:id="21">
    <w:p w14:paraId="35D2AB85" w14:textId="4611B2EB" w:rsidR="00D6182F" w:rsidRPr="00CE50C5" w:rsidRDefault="00D6182F" w:rsidP="00D6182F">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Za više informacija, molimo pogledajte: Evropski sud za ljudska prava, Veliko veće, Presuda, predmeti br. 17153/11, 17157/11, 17160/11, 17163/11, 17168/11, 17173/11, 17178/11, 17181/11, 17182/11, 17186/11, 17343/11, 17344/11, 17362/11, 17364/11, 17367/11, 17370/11, 17372/11, 17377/11, 17380/11, 17382/11, 17386/11, 17421/11, 17424/11, 17428/11, 17431/11, 17435/11, 17438/11, 17439/11, 17440/11</w:t>
      </w:r>
      <w:r w:rsidR="002C0A38" w:rsidRPr="00CE50C5">
        <w:rPr>
          <w:rFonts w:asciiTheme="majorHAnsi" w:hAnsiTheme="majorHAnsi" w:cstheme="majorHAnsi"/>
          <w:color w:val="000000"/>
          <w:sz w:val="16"/>
          <w:szCs w:val="16"/>
          <w:lang w:val="sr-Latn-RS"/>
        </w:rPr>
        <w:t xml:space="preserve"> i </w:t>
      </w:r>
      <w:r w:rsidRPr="00CE50C5">
        <w:rPr>
          <w:rFonts w:asciiTheme="majorHAnsi" w:hAnsiTheme="majorHAnsi" w:cstheme="majorHAnsi"/>
          <w:color w:val="000000"/>
          <w:sz w:val="16"/>
          <w:szCs w:val="16"/>
          <w:lang w:val="sr-Latn-RS"/>
        </w:rPr>
        <w:t xml:space="preserve">17443/11, 25. mart 2014. godine. </w:t>
      </w:r>
    </w:p>
  </w:footnote>
  <w:footnote w:id="22">
    <w:p w14:paraId="6D7CDF42" w14:textId="77777777" w:rsidR="00D6182F" w:rsidRPr="00CE50C5" w:rsidRDefault="00D6182F" w:rsidP="00D6182F">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Primera radi, Grad Beograd je platio 35 miliona evra penala roditeljima dece kojima je cena predškolskog obrazovanja pogrešno obračunata. </w:t>
      </w:r>
    </w:p>
  </w:footnote>
  <w:footnote w:id="23">
    <w:p w14:paraId="7F30E438" w14:textId="22836B2E" w:rsidR="00C257BE" w:rsidRPr="00CE50C5" w:rsidRDefault="00C257BE" w:rsidP="00C257BE">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Tim za socijalno uključivanje</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 xml:space="preserve">smanjenje siromaštva Vlade Republike Srbije, Tim Ujedinjenih nacija za ljudska prava, </w:t>
      </w:r>
      <w:r w:rsidRPr="00CE50C5">
        <w:rPr>
          <w:rFonts w:asciiTheme="majorHAnsi" w:hAnsiTheme="majorHAnsi" w:cstheme="majorHAnsi"/>
          <w:i/>
          <w:iCs/>
          <w:sz w:val="16"/>
          <w:szCs w:val="16"/>
          <w:lang w:val="sr-Latn-RS"/>
        </w:rPr>
        <w:t>Mapiranje podstandardnih romskih naselja prema rizicima</w:t>
      </w:r>
      <w:r w:rsidR="002C0A38" w:rsidRPr="00CE50C5">
        <w:rPr>
          <w:rFonts w:asciiTheme="majorHAnsi" w:hAnsiTheme="majorHAnsi" w:cstheme="majorHAnsi"/>
          <w:i/>
          <w:iCs/>
          <w:sz w:val="16"/>
          <w:szCs w:val="16"/>
          <w:lang w:val="sr-Latn-RS"/>
        </w:rPr>
        <w:t xml:space="preserve"> i </w:t>
      </w:r>
      <w:r w:rsidRPr="00CE50C5">
        <w:rPr>
          <w:rFonts w:asciiTheme="majorHAnsi" w:hAnsiTheme="majorHAnsi" w:cstheme="majorHAnsi"/>
          <w:i/>
          <w:iCs/>
          <w:sz w:val="16"/>
          <w:szCs w:val="16"/>
          <w:lang w:val="sr-Latn-RS"/>
        </w:rPr>
        <w:t xml:space="preserve">pristupu pravima u Republici Srbiji sa naročitim osvrtom na COVID-19 pandemiju, </w:t>
      </w:r>
      <w:r w:rsidRPr="00CE50C5">
        <w:rPr>
          <w:rFonts w:asciiTheme="majorHAnsi" w:hAnsiTheme="majorHAnsi" w:cstheme="majorHAnsi"/>
          <w:sz w:val="16"/>
          <w:szCs w:val="16"/>
          <w:lang w:val="sr-Latn-RS"/>
        </w:rPr>
        <w:t>dostupno na</w:t>
      </w:r>
      <w:r w:rsidRPr="00CE50C5">
        <w:rPr>
          <w:rFonts w:asciiTheme="majorHAnsi" w:hAnsiTheme="majorHAnsi" w:cstheme="majorHAnsi"/>
          <w:color w:val="323232"/>
          <w:sz w:val="16"/>
          <w:szCs w:val="16"/>
          <w:lang w:val="sr-Latn-RS"/>
        </w:rPr>
        <w:t xml:space="preserve">: </w:t>
      </w:r>
      <w:hyperlink r:id="rId7" w:history="1">
        <w:r w:rsidRPr="00CE50C5">
          <w:rPr>
            <w:rStyle w:val="Hyperlink"/>
            <w:rFonts w:asciiTheme="majorHAnsi" w:hAnsiTheme="majorHAnsi" w:cstheme="majorHAnsi"/>
            <w:sz w:val="16"/>
            <w:szCs w:val="16"/>
            <w:lang w:val="sr-Latn-RS"/>
          </w:rPr>
          <w:t>https://serbia.un.org/sites/default/files/2021-02/Mapiranje_podstandardnih_romskih_naselja_SRB_web.pdf</w:t>
        </w:r>
      </w:hyperlink>
      <w:r w:rsidRPr="00CE50C5">
        <w:rPr>
          <w:rFonts w:asciiTheme="majorHAnsi" w:hAnsiTheme="majorHAnsi" w:cstheme="majorHAnsi"/>
          <w:sz w:val="16"/>
          <w:szCs w:val="16"/>
          <w:lang w:val="sr-Latn-RS"/>
        </w:rPr>
        <w:t xml:space="preserve"> </w:t>
      </w:r>
    </w:p>
  </w:footnote>
  <w:footnote w:id="24">
    <w:p w14:paraId="16057F08" w14:textId="77777777" w:rsidR="000E49D9" w:rsidRPr="00CE50C5" w:rsidRDefault="000E49D9" w:rsidP="000E49D9">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w:t>
      </w:r>
      <w:r w:rsidRPr="00CE50C5">
        <w:rPr>
          <w:rFonts w:asciiTheme="majorHAnsi" w:hAnsiTheme="majorHAnsi" w:cstheme="majorHAnsi"/>
          <w:i/>
          <w:iCs/>
          <w:color w:val="000000"/>
          <w:sz w:val="16"/>
          <w:szCs w:val="16"/>
          <w:lang w:val="sr-Latn-RS"/>
        </w:rPr>
        <w:t>CEB extends €200 million loan to Serbia for health infrastructure</w:t>
      </w:r>
      <w:r w:rsidRPr="00CE50C5">
        <w:rPr>
          <w:rFonts w:asciiTheme="majorHAnsi" w:hAnsiTheme="majorHAnsi" w:cstheme="majorHAnsi"/>
          <w:color w:val="000000"/>
          <w:sz w:val="16"/>
          <w:szCs w:val="16"/>
          <w:lang w:val="sr-Latn-RS"/>
        </w:rPr>
        <w:t xml:space="preserve"> (BSE omogućila Srbiji pozajmicu of €200 miliona za zdravstvenu infrastrukturu) , dostupno na engleskom jeziku na: </w:t>
      </w:r>
      <w:hyperlink r:id="rId8">
        <w:r w:rsidRPr="00CE50C5">
          <w:rPr>
            <w:rFonts w:asciiTheme="majorHAnsi" w:hAnsiTheme="majorHAnsi" w:cstheme="majorHAnsi"/>
            <w:color w:val="0563C1"/>
            <w:sz w:val="16"/>
            <w:szCs w:val="16"/>
            <w:u w:val="single"/>
            <w:lang w:val="sr-Latn-RS"/>
          </w:rPr>
          <w:t>https://coebank.org/en/news-and-publications/news/ceb-extends-200-million-loan-serbia-health-infrastructure/</w:t>
        </w:r>
      </w:hyperlink>
      <w:r w:rsidRPr="00CE50C5">
        <w:rPr>
          <w:rFonts w:asciiTheme="majorHAnsi" w:hAnsiTheme="majorHAnsi" w:cstheme="majorHAnsi"/>
          <w:color w:val="000000"/>
          <w:sz w:val="16"/>
          <w:szCs w:val="16"/>
          <w:lang w:val="sr-Latn-RS"/>
        </w:rPr>
        <w:t xml:space="preserve"> </w:t>
      </w:r>
    </w:p>
  </w:footnote>
  <w:footnote w:id="25">
    <w:p w14:paraId="68B659E2" w14:textId="6EE3F195" w:rsidR="00EE24DB" w:rsidRPr="00CE50C5" w:rsidRDefault="00EE24DB" w:rsidP="00EE24DB">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0089251C" w:rsidRPr="00CE50C5">
        <w:rPr>
          <w:rFonts w:asciiTheme="majorHAnsi" w:hAnsiTheme="majorHAnsi" w:cstheme="majorHAnsi"/>
          <w:sz w:val="16"/>
          <w:szCs w:val="16"/>
          <w:lang w:val="sr-Latn-RS"/>
        </w:rPr>
        <w:t xml:space="preserve"> </w:t>
      </w:r>
      <w:r w:rsidRPr="00CE50C5">
        <w:rPr>
          <w:rFonts w:asciiTheme="majorHAnsi" w:hAnsiTheme="majorHAnsi" w:cstheme="majorHAnsi"/>
          <w:sz w:val="16"/>
          <w:szCs w:val="16"/>
          <w:lang w:val="sr-Latn-RS"/>
        </w:rPr>
        <w:t xml:space="preserve">Fiskalni savet Republike Srbije, </w:t>
      </w:r>
      <w:r w:rsidRPr="00CE50C5">
        <w:rPr>
          <w:rFonts w:asciiTheme="majorHAnsi" w:hAnsiTheme="majorHAnsi" w:cstheme="majorHAnsi"/>
          <w:i/>
          <w:iCs/>
          <w:sz w:val="16"/>
          <w:szCs w:val="16"/>
          <w:lang w:val="sr-Latn-RS"/>
        </w:rPr>
        <w:t>Efekat zdravstvene krize na fiskalna</w:t>
      </w:r>
      <w:r w:rsidR="002C0A38" w:rsidRPr="00CE50C5">
        <w:rPr>
          <w:rFonts w:asciiTheme="majorHAnsi" w:hAnsiTheme="majorHAnsi" w:cstheme="majorHAnsi"/>
          <w:i/>
          <w:iCs/>
          <w:sz w:val="16"/>
          <w:szCs w:val="16"/>
          <w:lang w:val="sr-Latn-RS"/>
        </w:rPr>
        <w:t xml:space="preserve"> i </w:t>
      </w:r>
      <w:r w:rsidRPr="00CE50C5">
        <w:rPr>
          <w:rFonts w:asciiTheme="majorHAnsi" w:hAnsiTheme="majorHAnsi" w:cstheme="majorHAnsi"/>
          <w:i/>
          <w:iCs/>
          <w:sz w:val="16"/>
          <w:szCs w:val="16"/>
          <w:lang w:val="sr-Latn-RS"/>
        </w:rPr>
        <w:t>ekonomska kretanja u 2020.</w:t>
      </w:r>
      <w:r w:rsidR="002C0A38" w:rsidRPr="00CE50C5">
        <w:rPr>
          <w:rFonts w:asciiTheme="majorHAnsi" w:hAnsiTheme="majorHAnsi" w:cstheme="majorHAnsi"/>
          <w:i/>
          <w:iCs/>
          <w:sz w:val="16"/>
          <w:szCs w:val="16"/>
          <w:lang w:val="sr-Latn-RS"/>
        </w:rPr>
        <w:t xml:space="preserve"> i </w:t>
      </w:r>
      <w:r w:rsidRPr="00CE50C5">
        <w:rPr>
          <w:rFonts w:asciiTheme="majorHAnsi" w:hAnsiTheme="majorHAnsi" w:cstheme="majorHAnsi"/>
          <w:i/>
          <w:iCs/>
          <w:sz w:val="16"/>
          <w:szCs w:val="16"/>
          <w:lang w:val="sr-Latn-RS"/>
        </w:rPr>
        <w:t xml:space="preserve">preporuke za </w:t>
      </w:r>
      <w:r w:rsidR="003B7810" w:rsidRPr="00CE50C5">
        <w:rPr>
          <w:rFonts w:asciiTheme="majorHAnsi" w:hAnsiTheme="majorHAnsi" w:cstheme="majorHAnsi"/>
          <w:i/>
          <w:iCs/>
          <w:sz w:val="16"/>
          <w:szCs w:val="16"/>
          <w:lang w:val="sr-Latn-RS"/>
        </w:rPr>
        <w:t xml:space="preserve">fiskalnu politiku za </w:t>
      </w:r>
      <w:r w:rsidRPr="00CE50C5">
        <w:rPr>
          <w:rFonts w:asciiTheme="majorHAnsi" w:hAnsiTheme="majorHAnsi" w:cstheme="majorHAnsi"/>
          <w:i/>
          <w:iCs/>
          <w:sz w:val="16"/>
          <w:szCs w:val="16"/>
          <w:lang w:val="sr-Latn-RS"/>
        </w:rPr>
        <w:t>2021. godinu</w:t>
      </w:r>
      <w:r w:rsidRPr="00CE50C5">
        <w:rPr>
          <w:rFonts w:asciiTheme="majorHAnsi" w:hAnsiTheme="majorHAnsi" w:cstheme="majorHAnsi"/>
          <w:sz w:val="16"/>
          <w:szCs w:val="16"/>
          <w:lang w:val="sr-Latn-RS"/>
        </w:rPr>
        <w:t xml:space="preserve">, str. 16, dostupno na: </w:t>
      </w:r>
    </w:p>
    <w:p w14:paraId="36A32D4F" w14:textId="77777777" w:rsidR="00EE24DB" w:rsidRPr="00CE50C5" w:rsidRDefault="00691620" w:rsidP="00EE24DB">
      <w:pPr>
        <w:spacing w:after="0" w:line="240" w:lineRule="auto"/>
        <w:rPr>
          <w:rFonts w:asciiTheme="majorHAnsi" w:hAnsiTheme="majorHAnsi" w:cstheme="majorHAnsi"/>
          <w:sz w:val="16"/>
          <w:szCs w:val="16"/>
          <w:lang w:val="sr-Latn-RS"/>
        </w:rPr>
      </w:pPr>
      <w:hyperlink r:id="rId9">
        <w:r w:rsidR="00EE24DB" w:rsidRPr="00CE50C5">
          <w:rPr>
            <w:rFonts w:asciiTheme="majorHAnsi" w:hAnsiTheme="majorHAnsi" w:cstheme="majorHAnsi"/>
            <w:color w:val="1155CC"/>
            <w:sz w:val="16"/>
            <w:szCs w:val="16"/>
            <w:u w:val="single"/>
            <w:lang w:val="sr-Latn-RS"/>
          </w:rPr>
          <w:t>FS_Efekat_zdravstvene_krize_na_fiskalna_i_ekonomska_kretanja_u_2020_+preporuke_za_2021.pdf (fiskalnisavet.rs)</w:t>
        </w:r>
      </w:hyperlink>
      <w:r w:rsidR="00EE24DB" w:rsidRPr="00CE50C5">
        <w:rPr>
          <w:rFonts w:asciiTheme="majorHAnsi" w:hAnsiTheme="majorHAnsi" w:cstheme="majorHAnsi"/>
          <w:sz w:val="16"/>
          <w:szCs w:val="16"/>
          <w:lang w:val="sr-Latn-RS"/>
        </w:rPr>
        <w:t xml:space="preserve">. </w:t>
      </w:r>
    </w:p>
  </w:footnote>
  <w:footnote w:id="26">
    <w:p w14:paraId="5C39CACA" w14:textId="77777777" w:rsidR="00814F18" w:rsidRPr="00CE50C5" w:rsidRDefault="00814F18" w:rsidP="00814F18">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Izveštaj Evropske komisije, </w:t>
      </w:r>
      <w:r w:rsidRPr="00CE50C5">
        <w:rPr>
          <w:rFonts w:asciiTheme="majorHAnsi" w:hAnsiTheme="majorHAnsi" w:cstheme="majorHAnsi"/>
          <w:i/>
          <w:iCs/>
          <w:sz w:val="16"/>
          <w:szCs w:val="16"/>
          <w:lang w:val="sr-Latn-RS"/>
        </w:rPr>
        <w:t>Republika Srbija Izveštaj za 2019. godinu</w:t>
      </w:r>
      <w:r w:rsidRPr="00CE50C5">
        <w:rPr>
          <w:rFonts w:asciiTheme="majorHAnsi" w:hAnsiTheme="majorHAnsi" w:cstheme="majorHAnsi"/>
          <w:sz w:val="16"/>
          <w:szCs w:val="16"/>
          <w:lang w:val="sr-Latn-RS"/>
        </w:rPr>
        <w:t xml:space="preserve">, str. 10, dostupno na: </w:t>
      </w:r>
      <w:hyperlink r:id="rId10" w:history="1">
        <w:r w:rsidRPr="00CE50C5">
          <w:rPr>
            <w:rStyle w:val="Hyperlink"/>
            <w:rFonts w:asciiTheme="majorHAnsi" w:hAnsiTheme="majorHAnsi" w:cstheme="majorHAnsi"/>
            <w:sz w:val="16"/>
            <w:szCs w:val="16"/>
            <w:lang w:val="sr-Latn-RS"/>
          </w:rPr>
          <w:t>https://www.mei.gov.rs/upload/documents/eu_dokumenta/godisnji_izvestaji_ek_o_napretku/20190529-serbia-report_SR_-_REVIDIRANO.pdf</w:t>
        </w:r>
      </w:hyperlink>
      <w:r w:rsidRPr="00CE50C5">
        <w:rPr>
          <w:rFonts w:asciiTheme="majorHAnsi" w:hAnsiTheme="majorHAnsi" w:cstheme="majorHAnsi"/>
          <w:sz w:val="16"/>
          <w:szCs w:val="16"/>
          <w:lang w:val="sr-Latn-RS"/>
        </w:rPr>
        <w:t xml:space="preserve"> </w:t>
      </w:r>
    </w:p>
  </w:footnote>
  <w:footnote w:id="27">
    <w:p w14:paraId="620D0DE1" w14:textId="77777777" w:rsidR="00107AAE" w:rsidRPr="00CE50C5" w:rsidRDefault="00107AAE" w:rsidP="00107AAE">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Fiskalni savet Republike Srbije, </w:t>
      </w:r>
      <w:r w:rsidRPr="00CE50C5">
        <w:rPr>
          <w:rFonts w:asciiTheme="majorHAnsi" w:hAnsiTheme="majorHAnsi" w:cstheme="majorHAnsi"/>
          <w:i/>
          <w:iCs/>
          <w:color w:val="000000"/>
          <w:sz w:val="16"/>
          <w:szCs w:val="16"/>
          <w:lang w:val="sr-Latn-RS"/>
        </w:rPr>
        <w:t>Ocena Predloga zakona o budžetu Republike Srbije za 2022. godinu</w:t>
      </w:r>
      <w:r w:rsidRPr="00CE50C5">
        <w:rPr>
          <w:rFonts w:asciiTheme="majorHAnsi" w:hAnsiTheme="majorHAnsi" w:cstheme="majorHAnsi"/>
          <w:color w:val="000000"/>
          <w:sz w:val="16"/>
          <w:szCs w:val="16"/>
          <w:lang w:val="sr-Latn-RS"/>
        </w:rPr>
        <w:t xml:space="preserve">, str.2, dostupno na: </w:t>
      </w:r>
      <w:hyperlink r:id="rId11" w:history="1">
        <w:r w:rsidRPr="00CE50C5">
          <w:rPr>
            <w:rStyle w:val="Hyperlink"/>
            <w:rFonts w:asciiTheme="majorHAnsi" w:hAnsiTheme="majorHAnsi" w:cstheme="majorHAnsi"/>
            <w:sz w:val="16"/>
            <w:szCs w:val="16"/>
            <w:lang w:val="sr-Latn-RS"/>
          </w:rPr>
          <w:t>http://www.fiskalnisavet.rs/doc/ocene-i-misljenja/2021/FS_Rezime_Ocena_predloga_budzeta_2022.pdf</w:t>
        </w:r>
      </w:hyperlink>
      <w:r w:rsidRPr="00CE50C5">
        <w:rPr>
          <w:rFonts w:asciiTheme="majorHAnsi" w:hAnsiTheme="majorHAnsi" w:cstheme="majorHAnsi"/>
          <w:sz w:val="16"/>
          <w:szCs w:val="16"/>
          <w:lang w:val="sr-Latn-RS"/>
        </w:rPr>
        <w:t xml:space="preserve"> </w:t>
      </w:r>
    </w:p>
  </w:footnote>
  <w:footnote w:id="28">
    <w:p w14:paraId="2CBF6FFA" w14:textId="5B38AF0F" w:rsidR="0063604B" w:rsidRPr="00CE50C5" w:rsidRDefault="0063604B" w:rsidP="0063604B">
      <w:pPr>
        <w:pBdr>
          <w:top w:val="nil"/>
          <w:left w:val="nil"/>
          <w:bottom w:val="nil"/>
          <w:right w:val="nil"/>
          <w:between w:val="nil"/>
        </w:pBd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w:t>
      </w:r>
      <w:r w:rsidRPr="00CE50C5">
        <w:rPr>
          <w:rFonts w:asciiTheme="majorHAnsi" w:hAnsiTheme="majorHAnsi" w:cstheme="majorHAnsi"/>
          <w:sz w:val="16"/>
          <w:szCs w:val="16"/>
          <w:lang w:val="sr-Latn-RS"/>
        </w:rPr>
        <w:t xml:space="preserve"> Fiskalni savet Republike Srbije, </w:t>
      </w:r>
      <w:r w:rsidRPr="00CE50C5">
        <w:rPr>
          <w:rFonts w:asciiTheme="majorHAnsi" w:hAnsiTheme="majorHAnsi" w:cstheme="majorHAnsi"/>
          <w:i/>
          <w:iCs/>
          <w:sz w:val="16"/>
          <w:szCs w:val="16"/>
          <w:lang w:val="sr-Latn-RS"/>
        </w:rPr>
        <w:t>Ocena Predloga rebalansa budžeta Republike za 2021.</w:t>
      </w:r>
      <w:r w:rsidR="002C0A38" w:rsidRPr="00CE50C5">
        <w:rPr>
          <w:rFonts w:asciiTheme="majorHAnsi" w:hAnsiTheme="majorHAnsi" w:cstheme="majorHAnsi"/>
          <w:i/>
          <w:iCs/>
          <w:sz w:val="16"/>
          <w:szCs w:val="16"/>
          <w:lang w:val="sr-Latn-RS"/>
        </w:rPr>
        <w:t xml:space="preserve"> i </w:t>
      </w:r>
      <w:r w:rsidRPr="00CE50C5">
        <w:rPr>
          <w:rFonts w:asciiTheme="majorHAnsi" w:hAnsiTheme="majorHAnsi" w:cstheme="majorHAnsi"/>
          <w:i/>
          <w:iCs/>
          <w:sz w:val="16"/>
          <w:szCs w:val="16"/>
          <w:lang w:val="sr-Latn-RS"/>
        </w:rPr>
        <w:t>osnovne preporuke za budžet 2022. godinu</w:t>
      </w:r>
      <w:r w:rsidRPr="00CE50C5">
        <w:rPr>
          <w:rFonts w:asciiTheme="majorHAnsi" w:hAnsiTheme="majorHAnsi" w:cstheme="majorHAnsi"/>
          <w:sz w:val="16"/>
          <w:szCs w:val="16"/>
          <w:lang w:val="sr-Latn-RS"/>
        </w:rPr>
        <w:t xml:space="preserve">, str. 2, dostupno na: </w:t>
      </w:r>
      <w:hyperlink r:id="rId12">
        <w:r w:rsidRPr="00CE50C5">
          <w:rPr>
            <w:rFonts w:asciiTheme="majorHAnsi" w:hAnsiTheme="majorHAnsi" w:cstheme="majorHAnsi"/>
            <w:color w:val="1155CC"/>
            <w:sz w:val="16"/>
            <w:szCs w:val="16"/>
            <w:u w:val="single"/>
            <w:lang w:val="sr-Latn-RS"/>
          </w:rPr>
          <w:t>FS-Ocena_Predloga_rebalansa_budzeta_Republike_za_2021_preporuke_za_budzet_2022.pdf (fiskalnisavet.rs)</w:t>
        </w:r>
      </w:hyperlink>
    </w:p>
  </w:footnote>
  <w:footnote w:id="29">
    <w:p w14:paraId="7BE7047C" w14:textId="77777777" w:rsidR="002022BC" w:rsidRPr="00CE50C5" w:rsidRDefault="002022BC" w:rsidP="002022BC">
      <w:pPr>
        <w:pBdr>
          <w:top w:val="nil"/>
          <w:left w:val="nil"/>
          <w:bottom w:val="nil"/>
          <w:right w:val="nil"/>
          <w:between w:val="nil"/>
        </w:pBdr>
        <w:spacing w:after="0" w:line="240" w:lineRule="auto"/>
        <w:rPr>
          <w:rFonts w:asciiTheme="majorHAnsi" w:hAnsiTheme="majorHAnsi" w:cstheme="majorHAnsi"/>
          <w:color w:val="000000"/>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color w:val="000000"/>
          <w:sz w:val="16"/>
          <w:szCs w:val="16"/>
          <w:lang w:val="sr-Latn-RS"/>
        </w:rPr>
        <w:t xml:space="preserve"> “Sl. glasnik RS”, br. 104/2009. </w:t>
      </w:r>
    </w:p>
  </w:footnote>
  <w:footnote w:id="30">
    <w:p w14:paraId="48F551B2" w14:textId="77777777" w:rsidR="00AF0B09" w:rsidRPr="00CE50C5" w:rsidRDefault="00AF0B09" w:rsidP="00AF0B09">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Vlada Republike Srbije, rešenje o korišćenju sredstava tekuće budžetske rezerve, 05 br. 401-10640/2017. </w:t>
      </w:r>
    </w:p>
  </w:footnote>
  <w:footnote w:id="31">
    <w:p w14:paraId="4760B12A" w14:textId="77777777" w:rsidR="00AF0B09" w:rsidRPr="00CE50C5" w:rsidRDefault="00AF0B09" w:rsidP="00AF0B09">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Vlada Republike Srbije, rešenje o korišćenju sredstava tekuće budžetske rezerve, 05 br. 401-12714/2017.</w:t>
      </w:r>
    </w:p>
  </w:footnote>
  <w:footnote w:id="32">
    <w:p w14:paraId="353BFA05" w14:textId="77777777" w:rsidR="00AF0B09" w:rsidRPr="00CE50C5" w:rsidRDefault="00AF0B09" w:rsidP="00AF0B09">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Vlada Republike Srbije, rešenje o korišćenju sredstava tekuće budžetske rezerve, 05 br. 401-12711/2017.</w:t>
      </w:r>
    </w:p>
  </w:footnote>
  <w:footnote w:id="33">
    <w:p w14:paraId="038BFDE0" w14:textId="77777777" w:rsidR="00AF0B09" w:rsidRPr="00CE50C5" w:rsidRDefault="00AF0B09" w:rsidP="00AF0B09">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Vlada Republike Srbije, rešenje o korišćenju sredstava tekuće budžetske rezerve, 05 br. 401-12717/2017.</w:t>
      </w:r>
    </w:p>
  </w:footnote>
  <w:footnote w:id="34">
    <w:p w14:paraId="12154AC5" w14:textId="3A769C98" w:rsidR="00DF23AE" w:rsidRPr="00CE50C5" w:rsidRDefault="00DF23AE" w:rsidP="00DF23AE">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Vlada Republike Srbije, Tim za socijalno uključivanje</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 xml:space="preserve">smanjenje siromaštva, Apsolutno siromaštvo, Profil apsolutnog siromaštva, 2006.-2020. godina, dostupno na: </w:t>
      </w:r>
      <w:hyperlink r:id="rId13" w:history="1">
        <w:r w:rsidRPr="00CE50C5">
          <w:rPr>
            <w:rStyle w:val="Hyperlink"/>
            <w:rFonts w:asciiTheme="majorHAnsi" w:hAnsiTheme="majorHAnsi" w:cstheme="majorHAnsi"/>
            <w:sz w:val="16"/>
            <w:szCs w:val="16"/>
            <w:lang w:val="sr-Latn-RS"/>
          </w:rPr>
          <w:t>https://socijalnoukljucivanje.gov.rs/rs/socijalno-ukljucivanje-u-rs/statistika-siromastva/apsolutno-siromastvo/</w:t>
        </w:r>
      </w:hyperlink>
      <w:r w:rsidRPr="00CE50C5">
        <w:rPr>
          <w:rFonts w:asciiTheme="majorHAnsi" w:hAnsiTheme="majorHAnsi" w:cstheme="majorHAnsi"/>
          <w:sz w:val="16"/>
          <w:szCs w:val="16"/>
          <w:lang w:val="sr-Latn-RS"/>
        </w:rPr>
        <w:t xml:space="preserve"> </w:t>
      </w:r>
    </w:p>
  </w:footnote>
  <w:footnote w:id="35">
    <w:p w14:paraId="1A08309D" w14:textId="77777777" w:rsidR="00206D8B" w:rsidRPr="00CE50C5" w:rsidRDefault="00206D8B" w:rsidP="00206D8B">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w:t>
      </w:r>
      <w:r w:rsidRPr="00CE50C5">
        <w:rPr>
          <w:rFonts w:asciiTheme="majorHAnsi" w:hAnsiTheme="majorHAnsi" w:cstheme="majorHAnsi"/>
          <w:color w:val="000000"/>
          <w:sz w:val="16"/>
          <w:szCs w:val="16"/>
          <w:lang w:val="sr-Latn-RS"/>
        </w:rPr>
        <w:t>“Sl. glasnik RS”</w:t>
      </w:r>
      <w:r w:rsidRPr="00CE50C5">
        <w:rPr>
          <w:rFonts w:asciiTheme="majorHAnsi" w:hAnsiTheme="majorHAnsi" w:cstheme="majorHAnsi"/>
          <w:sz w:val="16"/>
          <w:szCs w:val="16"/>
          <w:lang w:val="sr-Latn-RS"/>
        </w:rPr>
        <w:t>, br. 24/2011.</w:t>
      </w:r>
    </w:p>
  </w:footnote>
  <w:footnote w:id="36">
    <w:p w14:paraId="3BCC1291" w14:textId="1C0537B4" w:rsidR="00206D8B" w:rsidRPr="00CE50C5" w:rsidRDefault="00206D8B" w:rsidP="00206D8B">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w:t>
      </w:r>
      <w:r w:rsidRPr="00CE50C5">
        <w:rPr>
          <w:rFonts w:asciiTheme="majorHAnsi" w:hAnsiTheme="majorHAnsi" w:cstheme="majorHAnsi"/>
          <w:color w:val="000000"/>
          <w:sz w:val="16"/>
          <w:szCs w:val="16"/>
          <w:lang w:val="sr-Latn-RS"/>
        </w:rPr>
        <w:t>“Sl. Glasnik RS”</w:t>
      </w:r>
      <w:r w:rsidRPr="00CE50C5">
        <w:rPr>
          <w:rFonts w:asciiTheme="majorHAnsi" w:hAnsiTheme="majorHAnsi" w:cstheme="majorHAnsi"/>
          <w:sz w:val="16"/>
          <w:szCs w:val="16"/>
          <w:lang w:val="sr-Latn-RS"/>
        </w:rPr>
        <w:t>, br. 13/2017, 50/2018, 46/2021 – Odluka Ustavnog suda, 51/2021 - Odluka Ustavnog suda, 53/2021 - Odluka Ustavnog suda, 66/2021</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 xml:space="preserve">130/2021. </w:t>
      </w:r>
    </w:p>
  </w:footnote>
  <w:footnote w:id="37">
    <w:p w14:paraId="53276F95" w14:textId="405F6F79" w:rsidR="00453019" w:rsidRPr="00CE50C5" w:rsidRDefault="00453019" w:rsidP="00453019">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Podaci prikupljeni posebnom obradom popisnih podataka koju vrši Zavod za statistiku Srbije. Inicijativa A 11 je od Republičkog zavoda za statistiku u martu 2021. godine dobila podatke o karakteristikama porodica sa petoro</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više dece.</w:t>
      </w:r>
    </w:p>
  </w:footnote>
  <w:footnote w:id="38">
    <w:p w14:paraId="632EF654" w14:textId="77777777" w:rsidR="002A7A28" w:rsidRPr="00CE50C5" w:rsidRDefault="002A7A28" w:rsidP="002A7A28">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Ibid. </w:t>
      </w:r>
    </w:p>
  </w:footnote>
  <w:footnote w:id="39">
    <w:p w14:paraId="30EDCD9A" w14:textId="60812EEB" w:rsidR="009B3885" w:rsidRPr="00CE50C5" w:rsidRDefault="008C0DA0">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w:t>
      </w:r>
      <w:r w:rsidR="00153DF8" w:rsidRPr="00CE50C5">
        <w:rPr>
          <w:rFonts w:asciiTheme="majorHAnsi" w:hAnsiTheme="majorHAnsi" w:cstheme="majorHAnsi"/>
          <w:sz w:val="16"/>
          <w:szCs w:val="16"/>
          <w:lang w:val="sr-Latn-RS"/>
        </w:rPr>
        <w:t>Republički zavod za statistiku Srbije</w:t>
      </w:r>
      <w:r w:rsidRPr="00CE50C5">
        <w:rPr>
          <w:rFonts w:asciiTheme="majorHAnsi" w:hAnsiTheme="majorHAnsi" w:cstheme="majorHAnsi"/>
          <w:sz w:val="16"/>
          <w:szCs w:val="16"/>
          <w:lang w:val="sr-Latn-RS"/>
        </w:rPr>
        <w:t xml:space="preserve">, </w:t>
      </w:r>
      <w:r w:rsidR="00153DF8" w:rsidRPr="00CE50C5">
        <w:rPr>
          <w:rFonts w:asciiTheme="majorHAnsi" w:hAnsiTheme="majorHAnsi" w:cstheme="majorHAnsi"/>
          <w:i/>
          <w:iCs/>
          <w:sz w:val="16"/>
          <w:szCs w:val="16"/>
          <w:lang w:val="sr-Latn-RS"/>
        </w:rPr>
        <w:t>Siromaštvo</w:t>
      </w:r>
      <w:r w:rsidR="002C0A38" w:rsidRPr="00CE50C5">
        <w:rPr>
          <w:rFonts w:asciiTheme="majorHAnsi" w:hAnsiTheme="majorHAnsi" w:cstheme="majorHAnsi"/>
          <w:i/>
          <w:iCs/>
          <w:sz w:val="16"/>
          <w:szCs w:val="16"/>
          <w:lang w:val="sr-Latn-RS"/>
        </w:rPr>
        <w:t xml:space="preserve"> i </w:t>
      </w:r>
      <w:r w:rsidR="00153DF8" w:rsidRPr="00CE50C5">
        <w:rPr>
          <w:rFonts w:asciiTheme="majorHAnsi" w:hAnsiTheme="majorHAnsi" w:cstheme="majorHAnsi"/>
          <w:i/>
          <w:iCs/>
          <w:sz w:val="16"/>
          <w:szCs w:val="16"/>
          <w:lang w:val="sr-Latn-RS"/>
        </w:rPr>
        <w:t>socijalna nejednakost</w:t>
      </w:r>
      <w:r w:rsidRPr="00CE50C5">
        <w:rPr>
          <w:rFonts w:asciiTheme="majorHAnsi" w:hAnsiTheme="majorHAnsi" w:cstheme="majorHAnsi"/>
          <w:sz w:val="16"/>
          <w:szCs w:val="16"/>
          <w:lang w:val="sr-Latn-RS"/>
        </w:rPr>
        <w:t xml:space="preserve">, 2020, </w:t>
      </w:r>
      <w:r w:rsidR="00153DF8" w:rsidRPr="00CE50C5">
        <w:rPr>
          <w:rFonts w:asciiTheme="majorHAnsi" w:hAnsiTheme="majorHAnsi" w:cstheme="majorHAnsi"/>
          <w:sz w:val="16"/>
          <w:szCs w:val="16"/>
          <w:lang w:val="sr-Latn-RS"/>
        </w:rPr>
        <w:t>dostupno na</w:t>
      </w:r>
      <w:r w:rsidR="00153DF8" w:rsidRPr="00CE50C5">
        <w:rPr>
          <w:rFonts w:asciiTheme="majorHAnsi" w:hAnsiTheme="majorHAnsi" w:cstheme="majorHAnsi"/>
          <w:sz w:val="16"/>
          <w:szCs w:val="16"/>
        </w:rPr>
        <w:t xml:space="preserve">: </w:t>
      </w:r>
      <w:hyperlink r:id="rId14" w:history="1">
        <w:r w:rsidR="00153DF8" w:rsidRPr="00CE50C5">
          <w:rPr>
            <w:rStyle w:val="Hyperlink"/>
            <w:rFonts w:asciiTheme="majorHAnsi" w:hAnsiTheme="majorHAnsi" w:cstheme="majorHAnsi"/>
            <w:sz w:val="16"/>
            <w:szCs w:val="16"/>
            <w:lang w:val="sr-Latn-RS"/>
          </w:rPr>
          <w:t>https://publikacije.stat.gov.rs/G2021/Pdf/G20211282.pdf</w:t>
        </w:r>
      </w:hyperlink>
      <w:r w:rsidR="00153DF8" w:rsidRPr="00CE50C5">
        <w:rPr>
          <w:rFonts w:asciiTheme="majorHAnsi" w:hAnsiTheme="majorHAnsi" w:cstheme="majorHAnsi"/>
          <w:sz w:val="16"/>
          <w:szCs w:val="16"/>
          <w:lang w:val="sr-Latn-RS"/>
        </w:rPr>
        <w:t xml:space="preserve"> </w:t>
      </w:r>
      <w:r w:rsidRPr="00CE50C5">
        <w:rPr>
          <w:rFonts w:asciiTheme="majorHAnsi" w:hAnsiTheme="majorHAnsi" w:cstheme="majorHAnsi"/>
          <w:sz w:val="16"/>
          <w:szCs w:val="16"/>
          <w:lang w:val="sr-Latn-RS"/>
        </w:rPr>
        <w:t xml:space="preserve"> </w:t>
      </w:r>
    </w:p>
  </w:footnote>
  <w:footnote w:id="40">
    <w:p w14:paraId="2DF55C72" w14:textId="7AFA8A37" w:rsidR="009B3885" w:rsidRPr="00CE50C5" w:rsidRDefault="008C0DA0">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w:t>
      </w:r>
      <w:r w:rsidR="00153DF8" w:rsidRPr="00CE50C5">
        <w:rPr>
          <w:rFonts w:asciiTheme="majorHAnsi" w:hAnsiTheme="majorHAnsi" w:cstheme="majorHAnsi"/>
          <w:sz w:val="16"/>
          <w:szCs w:val="16"/>
          <w:lang w:val="sr-Latn-RS"/>
        </w:rPr>
        <w:t>Republički zavod za statistiku Srbije</w:t>
      </w:r>
      <w:r w:rsidRPr="00CE50C5">
        <w:rPr>
          <w:rFonts w:asciiTheme="majorHAnsi" w:hAnsiTheme="majorHAnsi" w:cstheme="majorHAnsi"/>
          <w:sz w:val="16"/>
          <w:szCs w:val="16"/>
          <w:lang w:val="sr-Latn-RS"/>
        </w:rPr>
        <w:t xml:space="preserve">, </w:t>
      </w:r>
      <w:r w:rsidR="00153DF8" w:rsidRPr="00CE50C5">
        <w:rPr>
          <w:rFonts w:asciiTheme="majorHAnsi" w:hAnsiTheme="majorHAnsi" w:cstheme="majorHAnsi"/>
          <w:i/>
          <w:iCs/>
          <w:sz w:val="16"/>
          <w:szCs w:val="16"/>
          <w:lang w:val="sr-Latn-RS"/>
        </w:rPr>
        <w:t>Anketa o radnoj snazi za drugi kvartal 2021., godine</w:t>
      </w:r>
      <w:r w:rsidRPr="00CE50C5">
        <w:rPr>
          <w:rFonts w:asciiTheme="majorHAnsi" w:hAnsiTheme="majorHAnsi" w:cstheme="majorHAnsi"/>
          <w:sz w:val="16"/>
          <w:szCs w:val="16"/>
          <w:lang w:val="sr-Latn-RS"/>
        </w:rPr>
        <w:t xml:space="preserve">, </w:t>
      </w:r>
      <w:r w:rsidR="00153DF8" w:rsidRPr="00CE50C5">
        <w:rPr>
          <w:rFonts w:asciiTheme="majorHAnsi" w:hAnsiTheme="majorHAnsi" w:cstheme="majorHAnsi"/>
          <w:sz w:val="16"/>
          <w:szCs w:val="16"/>
          <w:lang w:val="sr-Latn-RS"/>
        </w:rPr>
        <w:t>dostupno na</w:t>
      </w:r>
      <w:r w:rsidRPr="00CE50C5">
        <w:rPr>
          <w:rFonts w:asciiTheme="majorHAnsi" w:hAnsiTheme="majorHAnsi" w:cstheme="majorHAnsi"/>
          <w:sz w:val="16"/>
          <w:szCs w:val="16"/>
          <w:lang w:val="sr-Latn-RS"/>
        </w:rPr>
        <w:t xml:space="preserve">: </w:t>
      </w:r>
      <w:hyperlink r:id="rId15">
        <w:r w:rsidRPr="00CE50C5">
          <w:rPr>
            <w:rFonts w:asciiTheme="majorHAnsi" w:eastAsia="Roboto" w:hAnsiTheme="majorHAnsi" w:cstheme="majorHAnsi"/>
            <w:color w:val="1A73E8"/>
            <w:sz w:val="16"/>
            <w:szCs w:val="16"/>
            <w:u w:val="single"/>
            <w:lang w:val="sr-Latn-RS"/>
          </w:rPr>
          <w:t>https://publikacije.stat.gov.rs/G2021/Pdf/G20211239.pdf</w:t>
        </w:r>
      </w:hyperlink>
    </w:p>
  </w:footnote>
  <w:footnote w:id="41">
    <w:p w14:paraId="224B72CD" w14:textId="77777777" w:rsidR="00BA0C0A" w:rsidRPr="00CE50C5" w:rsidRDefault="00BA0C0A" w:rsidP="00BA0C0A">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Republički zavod za socijalnu zaštitu, dostupno na: </w:t>
      </w:r>
      <w:hyperlink r:id="rId16">
        <w:r w:rsidRPr="00CE50C5">
          <w:rPr>
            <w:rFonts w:asciiTheme="majorHAnsi" w:hAnsiTheme="majorHAnsi" w:cstheme="majorHAnsi"/>
            <w:color w:val="0563C1"/>
            <w:sz w:val="16"/>
            <w:szCs w:val="16"/>
            <w:u w:val="single"/>
            <w:lang w:val="sr-Latn-RS"/>
          </w:rPr>
          <w:t>https://bit.ly/3mPVW6U</w:t>
        </w:r>
      </w:hyperlink>
      <w:r w:rsidRPr="00CE50C5">
        <w:rPr>
          <w:rFonts w:asciiTheme="majorHAnsi" w:hAnsiTheme="majorHAnsi" w:cstheme="majorHAnsi"/>
          <w:sz w:val="16"/>
          <w:szCs w:val="16"/>
          <w:lang w:val="sr-Latn-RS"/>
        </w:rPr>
        <w:t xml:space="preserve"> </w:t>
      </w:r>
    </w:p>
  </w:footnote>
  <w:footnote w:id="42">
    <w:p w14:paraId="3097D20D" w14:textId="77777777" w:rsidR="00BA0C0A" w:rsidRPr="00CE50C5" w:rsidRDefault="00BA0C0A" w:rsidP="00BA0C0A">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Za više informacija o Timu, molimo vas da pogledate:  </w:t>
      </w:r>
      <w:hyperlink r:id="rId17">
        <w:r w:rsidRPr="00CE50C5">
          <w:rPr>
            <w:rFonts w:asciiTheme="majorHAnsi" w:hAnsiTheme="majorHAnsi" w:cstheme="majorHAnsi"/>
            <w:color w:val="1155CC"/>
            <w:sz w:val="16"/>
            <w:szCs w:val="16"/>
            <w:u w:val="single"/>
            <w:lang w:val="sr-Latn-RS"/>
          </w:rPr>
          <w:t>http://socijalnoukljucivanje.gov.rs/</w:t>
        </w:r>
      </w:hyperlink>
      <w:r w:rsidRPr="00CE50C5">
        <w:rPr>
          <w:rFonts w:asciiTheme="majorHAnsi" w:hAnsiTheme="majorHAnsi" w:cstheme="majorHAnsi"/>
          <w:sz w:val="16"/>
          <w:szCs w:val="16"/>
          <w:lang w:val="sr-Latn-RS"/>
        </w:rPr>
        <w:t xml:space="preserve"> </w:t>
      </w:r>
    </w:p>
  </w:footnote>
  <w:footnote w:id="43">
    <w:p w14:paraId="381A1731" w14:textId="6AACAC01" w:rsidR="00444209" w:rsidRPr="00CE50C5" w:rsidRDefault="00444209" w:rsidP="00444209">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Tim za socijalno uključivanje</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 xml:space="preserve">smanjenje siromaštva, </w:t>
      </w:r>
      <w:r w:rsidRPr="00CE50C5">
        <w:rPr>
          <w:rFonts w:asciiTheme="majorHAnsi" w:hAnsiTheme="majorHAnsi" w:cstheme="majorHAnsi"/>
          <w:i/>
          <w:iCs/>
          <w:sz w:val="16"/>
          <w:szCs w:val="16"/>
          <w:lang w:val="sr-Latn-RS"/>
        </w:rPr>
        <w:t>Dvanaest godina rada Tima za socijalno uključivanje</w:t>
      </w:r>
      <w:r w:rsidR="002C0A38" w:rsidRPr="00CE50C5">
        <w:rPr>
          <w:rFonts w:asciiTheme="majorHAnsi" w:hAnsiTheme="majorHAnsi" w:cstheme="majorHAnsi"/>
          <w:i/>
          <w:iCs/>
          <w:sz w:val="16"/>
          <w:szCs w:val="16"/>
          <w:lang w:val="sr-Latn-RS"/>
        </w:rPr>
        <w:t xml:space="preserve"> i </w:t>
      </w:r>
      <w:r w:rsidRPr="00CE50C5">
        <w:rPr>
          <w:rFonts w:asciiTheme="majorHAnsi" w:hAnsiTheme="majorHAnsi" w:cstheme="majorHAnsi"/>
          <w:i/>
          <w:iCs/>
          <w:sz w:val="16"/>
          <w:szCs w:val="16"/>
          <w:lang w:val="sr-Latn-RS"/>
        </w:rPr>
        <w:t>smanjenje siromaštva Vlade Republike Srbije</w:t>
      </w:r>
      <w:r w:rsidRPr="00CE50C5">
        <w:rPr>
          <w:rFonts w:asciiTheme="majorHAnsi" w:hAnsiTheme="majorHAnsi" w:cstheme="majorHAnsi"/>
          <w:sz w:val="16"/>
          <w:szCs w:val="16"/>
          <w:lang w:val="sr-Latn-RS"/>
        </w:rPr>
        <w:t xml:space="preserve">, dostupno na: </w:t>
      </w:r>
      <w:hyperlink r:id="rId18">
        <w:r w:rsidRPr="00CE50C5">
          <w:rPr>
            <w:rFonts w:asciiTheme="majorHAnsi" w:hAnsiTheme="majorHAnsi" w:cstheme="majorHAnsi"/>
            <w:color w:val="1155CC"/>
            <w:sz w:val="16"/>
            <w:szCs w:val="16"/>
            <w:u w:val="single"/>
            <w:lang w:val="sr-Latn-RS"/>
          </w:rPr>
          <w:t>http://socijalnoukljucivanje.gov.rs/rs/dvanaest-godina-rada-tima-za-socijalno-ukljucivanje-i-smanjenje-siromastva-vlade-republike-srbije/</w:t>
        </w:r>
      </w:hyperlink>
      <w:r w:rsidRPr="00CE50C5">
        <w:rPr>
          <w:rFonts w:asciiTheme="majorHAnsi" w:hAnsiTheme="majorHAnsi" w:cstheme="majorHAnsi"/>
          <w:sz w:val="16"/>
          <w:szCs w:val="16"/>
          <w:lang w:val="sr-Latn-RS"/>
        </w:rPr>
        <w:t xml:space="preserve"> </w:t>
      </w:r>
    </w:p>
  </w:footnote>
  <w:footnote w:id="44">
    <w:p w14:paraId="31816C69" w14:textId="77777777" w:rsidR="00444209" w:rsidRPr="00CE50C5" w:rsidRDefault="00444209" w:rsidP="00444209">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Republički zavod za socijalnu zaštitu, </w:t>
      </w:r>
      <w:r w:rsidRPr="00CE50C5">
        <w:rPr>
          <w:rFonts w:asciiTheme="majorHAnsi" w:hAnsiTheme="majorHAnsi" w:cstheme="majorHAnsi"/>
          <w:i/>
          <w:iCs/>
          <w:sz w:val="16"/>
          <w:szCs w:val="16"/>
          <w:lang w:val="sr-Latn-RS"/>
        </w:rPr>
        <w:t>Izveštaj o radu centra za socijalnu zaštitu za 2020. godinu</w:t>
      </w:r>
      <w:r w:rsidRPr="00CE50C5">
        <w:rPr>
          <w:rFonts w:asciiTheme="majorHAnsi" w:hAnsiTheme="majorHAnsi" w:cstheme="majorHAnsi"/>
          <w:sz w:val="16"/>
          <w:szCs w:val="16"/>
          <w:lang w:val="sr-Latn-RS"/>
        </w:rPr>
        <w:t xml:space="preserve">, str. 6, dostupno na: </w:t>
      </w:r>
      <w:hyperlink r:id="rId19">
        <w:r w:rsidRPr="00CE50C5">
          <w:rPr>
            <w:rFonts w:asciiTheme="majorHAnsi" w:hAnsiTheme="majorHAnsi" w:cstheme="majorHAnsi"/>
            <w:color w:val="1155CC"/>
            <w:sz w:val="16"/>
            <w:szCs w:val="16"/>
            <w:u w:val="single"/>
            <w:lang w:val="sr-Latn-RS"/>
          </w:rPr>
          <w:t>http://www.zavodsz.gov.rs/media/2159/izvestaj-o-radu-csr-2020.pdf</w:t>
        </w:r>
      </w:hyperlink>
      <w:r w:rsidRPr="00CE50C5">
        <w:rPr>
          <w:rFonts w:asciiTheme="majorHAnsi" w:hAnsiTheme="majorHAnsi" w:cstheme="majorHAnsi"/>
          <w:sz w:val="16"/>
          <w:szCs w:val="16"/>
          <w:lang w:val="sr-Latn-RS"/>
        </w:rPr>
        <w:t xml:space="preserve"> </w:t>
      </w:r>
    </w:p>
  </w:footnote>
  <w:footnote w:id="45">
    <w:p w14:paraId="09CDA1EB" w14:textId="77777777" w:rsidR="00444209" w:rsidRPr="00CE50C5" w:rsidRDefault="00444209" w:rsidP="00444209">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ibid, str. 8. </w:t>
      </w:r>
    </w:p>
  </w:footnote>
  <w:footnote w:id="46">
    <w:p w14:paraId="458ACC8F" w14:textId="75529344" w:rsidR="009B3885" w:rsidRPr="00CE50C5" w:rsidRDefault="008C0DA0">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ibid, </w:t>
      </w:r>
      <w:r w:rsidR="008573B1" w:rsidRPr="00CE50C5">
        <w:rPr>
          <w:rFonts w:asciiTheme="majorHAnsi" w:hAnsiTheme="majorHAnsi" w:cstheme="majorHAnsi"/>
          <w:sz w:val="16"/>
          <w:szCs w:val="16"/>
          <w:lang w:val="sr-Latn-RS"/>
        </w:rPr>
        <w:t>str</w:t>
      </w:r>
      <w:r w:rsidRPr="00CE50C5">
        <w:rPr>
          <w:rFonts w:asciiTheme="majorHAnsi" w:hAnsiTheme="majorHAnsi" w:cstheme="majorHAnsi"/>
          <w:sz w:val="16"/>
          <w:szCs w:val="16"/>
          <w:lang w:val="sr-Latn-RS"/>
        </w:rPr>
        <w:t xml:space="preserve">. 9. </w:t>
      </w:r>
    </w:p>
  </w:footnote>
  <w:footnote w:id="47">
    <w:p w14:paraId="3EF96CD0" w14:textId="6F0055AE" w:rsidR="00135201" w:rsidRPr="00CE50C5" w:rsidRDefault="00135201" w:rsidP="00135201">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Minstar za rad, zapošljavanje, boračka</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 xml:space="preserve">socijalna pitanja, Rešenje o nominalnim iznosima novčane socijalne pomoći, </w:t>
      </w:r>
      <w:r w:rsidRPr="00CE50C5">
        <w:rPr>
          <w:rFonts w:asciiTheme="majorHAnsi" w:hAnsiTheme="majorHAnsi" w:cstheme="majorHAnsi"/>
          <w:sz w:val="16"/>
          <w:szCs w:val="16"/>
        </w:rPr>
        <w:t xml:space="preserve">“Sl. </w:t>
      </w:r>
      <w:r w:rsidRPr="00CE50C5">
        <w:rPr>
          <w:rFonts w:asciiTheme="majorHAnsi" w:hAnsiTheme="majorHAnsi" w:cstheme="majorHAnsi"/>
          <w:sz w:val="16"/>
          <w:szCs w:val="16"/>
        </w:rPr>
        <w:t>glasnik RS”, br</w:t>
      </w:r>
      <w:r w:rsidRPr="00CE50C5">
        <w:rPr>
          <w:rFonts w:asciiTheme="majorHAnsi" w:hAnsiTheme="majorHAnsi" w:cstheme="majorHAnsi"/>
          <w:sz w:val="16"/>
          <w:szCs w:val="16"/>
          <w:lang w:val="sr-Latn-RS"/>
        </w:rPr>
        <w:t>. 99/2021.</w:t>
      </w:r>
    </w:p>
  </w:footnote>
  <w:footnote w:id="48">
    <w:p w14:paraId="4F756B20" w14:textId="77777777" w:rsidR="00135201" w:rsidRPr="00CE50C5" w:rsidRDefault="00135201" w:rsidP="00135201">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Evropski komitet za socijalna prava, Zaključci 2017. – Srbija – Član 13 stav 1 – Adekvatna zaštita svakoj osobi u potrebi, dostupno na engleskom jeziku na:</w:t>
      </w:r>
      <w:hyperlink r:id="rId20">
        <w:r w:rsidRPr="00CE50C5">
          <w:rPr>
            <w:rFonts w:asciiTheme="majorHAnsi" w:hAnsiTheme="majorHAnsi" w:cstheme="majorHAnsi"/>
            <w:sz w:val="16"/>
            <w:szCs w:val="16"/>
            <w:lang w:val="sr-Latn-RS"/>
          </w:rPr>
          <w:t xml:space="preserve"> </w:t>
        </w:r>
      </w:hyperlink>
      <w:hyperlink r:id="rId21">
        <w:r w:rsidRPr="00CE50C5">
          <w:rPr>
            <w:rFonts w:asciiTheme="majorHAnsi" w:hAnsiTheme="majorHAnsi" w:cstheme="majorHAnsi"/>
            <w:color w:val="1155CC"/>
            <w:sz w:val="16"/>
            <w:szCs w:val="16"/>
            <w:lang w:val="sr-Latn-RS"/>
          </w:rPr>
          <w:t>http://hudoc.esc.coe.int/eng?i=2017/def/SRB/13/1/EN</w:t>
        </w:r>
      </w:hyperlink>
    </w:p>
  </w:footnote>
  <w:footnote w:id="49">
    <w:p w14:paraId="70A50284" w14:textId="6FA73004" w:rsidR="00AE1952" w:rsidRPr="00CE50C5" w:rsidRDefault="00AE1952" w:rsidP="00AE1952">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Zaključna zapažanja Komiteta za ekonomska, socijalna</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kulturna prava u vezi sa Drugim periodičnim izveštajem Republike Srbije o primeni Međunarodnog pakta o ekonomskim, socijalnim</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kulturnim pravima , 10 jul 2014. godine, pasusi 24(a)</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24(b), dostupno na engleskom jeziku na:</w:t>
      </w:r>
      <w:hyperlink r:id="rId22">
        <w:r w:rsidRPr="00CE50C5">
          <w:rPr>
            <w:rFonts w:asciiTheme="majorHAnsi" w:hAnsiTheme="majorHAnsi" w:cstheme="majorHAnsi"/>
            <w:sz w:val="16"/>
            <w:szCs w:val="16"/>
            <w:lang w:val="sr-Latn-RS"/>
          </w:rPr>
          <w:t xml:space="preserve"> </w:t>
        </w:r>
      </w:hyperlink>
      <w:hyperlink r:id="rId23">
        <w:r w:rsidRPr="00CE50C5">
          <w:rPr>
            <w:rFonts w:asciiTheme="majorHAnsi" w:hAnsiTheme="majorHAnsi" w:cstheme="majorHAnsi"/>
            <w:color w:val="1155CC"/>
            <w:sz w:val="16"/>
            <w:szCs w:val="16"/>
            <w:lang w:val="sr-Latn-RS"/>
          </w:rPr>
          <w:t>https://docstore.ohchr.org/SelfServices/FilesHandler.ashx?enc=4slQ6QSmlBEDzFEovLCuW54MWm13CZ4%2bVqIQ1kU7YRw1%2bWWofd2tBOLmHCPVP18p98WsDiiW2OUQ17gvnJpVVpoFywjLvYimxKtrPdaw9JwPrBrBaLOKZNQhlvbfOZUK</w:t>
        </w:r>
      </w:hyperlink>
    </w:p>
  </w:footnote>
  <w:footnote w:id="50">
    <w:p w14:paraId="3ED75360" w14:textId="66A71FAB" w:rsidR="009B3885" w:rsidRPr="00CE50C5" w:rsidRDefault="008C0DA0">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w:t>
      </w:r>
      <w:r w:rsidR="00971888" w:rsidRPr="00CE50C5">
        <w:rPr>
          <w:rFonts w:asciiTheme="majorHAnsi" w:hAnsiTheme="majorHAnsi" w:cstheme="majorHAnsi"/>
          <w:sz w:val="16"/>
          <w:szCs w:val="16"/>
          <w:lang w:val="sr-Latn-RS"/>
        </w:rPr>
        <w:t>Primera radi</w:t>
      </w:r>
      <w:r w:rsidR="00E77274" w:rsidRPr="00CE50C5">
        <w:rPr>
          <w:rFonts w:asciiTheme="majorHAnsi" w:hAnsiTheme="majorHAnsi" w:cstheme="majorHAnsi"/>
          <w:sz w:val="16"/>
          <w:szCs w:val="16"/>
          <w:lang w:val="sr-Latn-RS"/>
        </w:rPr>
        <w:t>, pogledajte; Ministarstvo za ljudska</w:t>
      </w:r>
      <w:r w:rsidR="002C0A38" w:rsidRPr="00CE50C5">
        <w:rPr>
          <w:rFonts w:asciiTheme="majorHAnsi" w:hAnsiTheme="majorHAnsi" w:cstheme="majorHAnsi"/>
          <w:sz w:val="16"/>
          <w:szCs w:val="16"/>
          <w:lang w:val="sr-Latn-RS"/>
        </w:rPr>
        <w:t xml:space="preserve"> i </w:t>
      </w:r>
      <w:r w:rsidR="00E77274" w:rsidRPr="00CE50C5">
        <w:rPr>
          <w:rFonts w:asciiTheme="majorHAnsi" w:hAnsiTheme="majorHAnsi" w:cstheme="majorHAnsi"/>
          <w:sz w:val="16"/>
          <w:szCs w:val="16"/>
          <w:lang w:val="sr-Latn-RS"/>
        </w:rPr>
        <w:t>manjinska prava</w:t>
      </w:r>
      <w:r w:rsidR="002C0A38" w:rsidRPr="00CE50C5">
        <w:rPr>
          <w:rFonts w:asciiTheme="majorHAnsi" w:hAnsiTheme="majorHAnsi" w:cstheme="majorHAnsi"/>
          <w:sz w:val="16"/>
          <w:szCs w:val="16"/>
          <w:lang w:val="sr-Latn-RS"/>
        </w:rPr>
        <w:t xml:space="preserve"> i </w:t>
      </w:r>
      <w:r w:rsidR="00E77274" w:rsidRPr="00CE50C5">
        <w:rPr>
          <w:rFonts w:asciiTheme="majorHAnsi" w:hAnsiTheme="majorHAnsi" w:cstheme="majorHAnsi"/>
          <w:sz w:val="16"/>
          <w:szCs w:val="16"/>
          <w:lang w:val="sr-Latn-RS"/>
        </w:rPr>
        <w:t xml:space="preserve">društveni dijalog, </w:t>
      </w:r>
      <w:r w:rsidRPr="00CE50C5">
        <w:rPr>
          <w:rFonts w:asciiTheme="majorHAnsi" w:hAnsiTheme="majorHAnsi" w:cstheme="majorHAnsi"/>
          <w:sz w:val="16"/>
          <w:szCs w:val="16"/>
          <w:lang w:val="sr-Latn-RS"/>
        </w:rPr>
        <w:t xml:space="preserve"> </w:t>
      </w:r>
      <w:r w:rsidR="00E77274" w:rsidRPr="00CE50C5">
        <w:rPr>
          <w:rFonts w:asciiTheme="majorHAnsi" w:hAnsiTheme="majorHAnsi" w:cstheme="majorHAnsi"/>
          <w:sz w:val="16"/>
          <w:szCs w:val="16"/>
          <w:lang w:val="sr-Latn-RS"/>
        </w:rPr>
        <w:t>Tematski socijalni dijalog o sistemu socijalne zaštite u Republici Srbiji, dostupno na</w:t>
      </w:r>
      <w:r w:rsidRPr="00CE50C5">
        <w:rPr>
          <w:rFonts w:asciiTheme="majorHAnsi" w:hAnsiTheme="majorHAnsi" w:cstheme="majorHAnsi"/>
          <w:sz w:val="16"/>
          <w:szCs w:val="16"/>
          <w:lang w:val="sr-Latn-RS"/>
        </w:rPr>
        <w:t xml:space="preserve">: </w:t>
      </w:r>
      <w:hyperlink r:id="rId24">
        <w:r w:rsidRPr="00CE50C5">
          <w:rPr>
            <w:rFonts w:asciiTheme="majorHAnsi" w:hAnsiTheme="majorHAnsi" w:cstheme="majorHAnsi"/>
            <w:color w:val="1155CC"/>
            <w:sz w:val="16"/>
            <w:szCs w:val="16"/>
            <w:u w:val="single"/>
            <w:lang w:val="sr-Latn-RS"/>
          </w:rPr>
          <w:t>https://www.youtube.com/watch?v=9lBJzIiPdRQ&amp;t=35s</w:t>
        </w:r>
      </w:hyperlink>
      <w:r w:rsidRPr="00CE50C5">
        <w:rPr>
          <w:rFonts w:asciiTheme="majorHAnsi" w:hAnsiTheme="majorHAnsi" w:cstheme="majorHAnsi"/>
          <w:sz w:val="16"/>
          <w:szCs w:val="16"/>
          <w:lang w:val="sr-Latn-RS"/>
        </w:rPr>
        <w:t xml:space="preserve">. </w:t>
      </w:r>
    </w:p>
  </w:footnote>
  <w:footnote w:id="51">
    <w:p w14:paraId="718F30D8" w14:textId="4CDC9CC7" w:rsidR="0055797E" w:rsidRPr="00CE50C5" w:rsidRDefault="0055797E" w:rsidP="0055797E">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Minstarstvo finansija, Makroekonomski</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 xml:space="preserve">fiskalni podaci, dostupno na: </w:t>
      </w:r>
      <w:hyperlink r:id="rId25">
        <w:r w:rsidRPr="00CE50C5">
          <w:rPr>
            <w:rFonts w:asciiTheme="majorHAnsi" w:hAnsiTheme="majorHAnsi" w:cstheme="majorHAnsi"/>
            <w:color w:val="1155CC"/>
            <w:sz w:val="16"/>
            <w:szCs w:val="16"/>
            <w:u w:val="single"/>
            <w:lang w:val="sr-Latn-RS"/>
          </w:rPr>
          <w:t>https://www.mfin.gov.rs/dokumenti2/makroekonomski-i-fiskalni-podaci</w:t>
        </w:r>
      </w:hyperlink>
      <w:r w:rsidRPr="00CE50C5">
        <w:rPr>
          <w:rFonts w:asciiTheme="majorHAnsi" w:hAnsiTheme="majorHAnsi" w:cstheme="majorHAnsi"/>
          <w:sz w:val="16"/>
          <w:szCs w:val="16"/>
          <w:lang w:val="sr-Latn-RS"/>
        </w:rPr>
        <w:t xml:space="preserve"> </w:t>
      </w:r>
    </w:p>
  </w:footnote>
  <w:footnote w:id="52">
    <w:p w14:paraId="1C74A0B0" w14:textId="77777777" w:rsidR="00EF250B" w:rsidRPr="00CE50C5" w:rsidRDefault="00EF250B" w:rsidP="00EF250B">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Grafikon 3 izveštaja. </w:t>
      </w:r>
    </w:p>
  </w:footnote>
  <w:footnote w:id="53">
    <w:p w14:paraId="1616A558" w14:textId="0BB8AFF7" w:rsidR="00EF250B" w:rsidRPr="00CE50C5" w:rsidRDefault="00EF250B" w:rsidP="00EF250B">
      <w:pPr>
        <w:spacing w:after="0" w:line="240" w:lineRule="auto"/>
        <w:rPr>
          <w:rFonts w:asciiTheme="majorHAnsi" w:hAnsiTheme="majorHAnsi" w:cstheme="majorHAnsi"/>
          <w:sz w:val="16"/>
          <w:szCs w:val="16"/>
          <w:lang w:val="sr-Latn-RS"/>
        </w:rPr>
      </w:pPr>
      <w:r w:rsidRPr="00174FCA">
        <w:rPr>
          <w:rStyle w:val="FootnoteReference"/>
          <w:rFonts w:asciiTheme="majorHAnsi" w:hAnsiTheme="majorHAnsi" w:cstheme="majorHAnsi"/>
          <w:sz w:val="16"/>
          <w:szCs w:val="16"/>
          <w:lang w:val="sr-Latn-RS"/>
        </w:rPr>
        <w:footnoteRef/>
      </w:r>
      <w:r w:rsidRPr="00174FCA">
        <w:rPr>
          <w:rFonts w:asciiTheme="majorHAnsi" w:hAnsiTheme="majorHAnsi" w:cstheme="majorHAnsi"/>
          <w:sz w:val="16"/>
          <w:szCs w:val="16"/>
          <w:lang w:val="sr-Latn-RS"/>
        </w:rPr>
        <w:t xml:space="preserve"> Ovo ne podrazumeva samo socijalna davanja, već</w:t>
      </w:r>
      <w:r w:rsidR="002C0A38" w:rsidRPr="00174FCA">
        <w:rPr>
          <w:rFonts w:asciiTheme="majorHAnsi" w:hAnsiTheme="majorHAnsi" w:cstheme="majorHAnsi"/>
          <w:sz w:val="16"/>
          <w:szCs w:val="16"/>
          <w:lang w:val="sr-Latn-RS"/>
        </w:rPr>
        <w:t xml:space="preserve"> i </w:t>
      </w:r>
      <w:r w:rsidRPr="00174FCA">
        <w:rPr>
          <w:rFonts w:asciiTheme="majorHAnsi" w:hAnsiTheme="majorHAnsi" w:cstheme="majorHAnsi"/>
          <w:sz w:val="16"/>
          <w:szCs w:val="16"/>
          <w:lang w:val="sr-Latn-RS"/>
        </w:rPr>
        <w:t>naknade za porodice</w:t>
      </w:r>
      <w:r w:rsidR="002C0A38" w:rsidRPr="00174FCA">
        <w:rPr>
          <w:rFonts w:asciiTheme="majorHAnsi" w:hAnsiTheme="majorHAnsi" w:cstheme="majorHAnsi"/>
          <w:sz w:val="16"/>
          <w:szCs w:val="16"/>
          <w:lang w:val="sr-Latn-RS"/>
        </w:rPr>
        <w:t xml:space="preserve"> i </w:t>
      </w:r>
      <w:r w:rsidRPr="00174FCA">
        <w:rPr>
          <w:rFonts w:asciiTheme="majorHAnsi" w:hAnsiTheme="majorHAnsi" w:cstheme="majorHAnsi"/>
          <w:sz w:val="16"/>
          <w:szCs w:val="16"/>
          <w:lang w:val="sr-Latn-RS"/>
        </w:rPr>
        <w:t>decu, naknade za nezaposlene, bolovanje, zdravstvenu zaštitu</w:t>
      </w:r>
      <w:r w:rsidR="002C0A38" w:rsidRPr="00174FCA">
        <w:rPr>
          <w:rFonts w:asciiTheme="majorHAnsi" w:hAnsiTheme="majorHAnsi" w:cstheme="majorHAnsi"/>
          <w:sz w:val="16"/>
          <w:szCs w:val="16"/>
          <w:lang w:val="sr-Latn-RS"/>
        </w:rPr>
        <w:t xml:space="preserve"> i </w:t>
      </w:r>
      <w:r w:rsidRPr="00174FCA">
        <w:rPr>
          <w:rFonts w:asciiTheme="majorHAnsi" w:hAnsiTheme="majorHAnsi" w:cstheme="majorHAnsi"/>
          <w:sz w:val="16"/>
          <w:szCs w:val="16"/>
          <w:lang w:val="sr-Latn-RS"/>
        </w:rPr>
        <w:t>invalidnine, starosne</w:t>
      </w:r>
      <w:r w:rsidR="002C0A38" w:rsidRPr="00174FCA">
        <w:rPr>
          <w:rFonts w:asciiTheme="majorHAnsi" w:hAnsiTheme="majorHAnsi" w:cstheme="majorHAnsi"/>
          <w:sz w:val="16"/>
          <w:szCs w:val="16"/>
          <w:lang w:val="sr-Latn-RS"/>
        </w:rPr>
        <w:t xml:space="preserve"> i </w:t>
      </w:r>
      <w:r w:rsidR="00174FCA" w:rsidRPr="00174FCA">
        <w:rPr>
          <w:rFonts w:asciiTheme="majorHAnsi" w:hAnsiTheme="majorHAnsi" w:cstheme="majorHAnsi"/>
          <w:sz w:val="16"/>
          <w:szCs w:val="16"/>
          <w:lang w:val="sr-Latn-RS"/>
        </w:rPr>
        <w:t xml:space="preserve">slične </w:t>
      </w:r>
      <w:r w:rsidRPr="00174FCA">
        <w:rPr>
          <w:rFonts w:asciiTheme="majorHAnsi" w:hAnsiTheme="majorHAnsi" w:cstheme="majorHAnsi"/>
          <w:sz w:val="16"/>
          <w:szCs w:val="16"/>
          <w:lang w:val="sr-Latn-RS"/>
        </w:rPr>
        <w:t>naknade,</w:t>
      </w:r>
      <w:r w:rsidR="002C0A38" w:rsidRPr="00174FCA">
        <w:rPr>
          <w:rFonts w:asciiTheme="majorHAnsi" w:hAnsiTheme="majorHAnsi" w:cstheme="majorHAnsi"/>
          <w:sz w:val="16"/>
          <w:szCs w:val="16"/>
          <w:lang w:val="sr-Latn-RS"/>
        </w:rPr>
        <w:t xml:space="preserve"> i </w:t>
      </w:r>
      <w:r w:rsidRPr="00174FCA">
        <w:rPr>
          <w:rFonts w:asciiTheme="majorHAnsi" w:hAnsiTheme="majorHAnsi" w:cstheme="majorHAnsi"/>
          <w:sz w:val="16"/>
          <w:szCs w:val="16"/>
          <w:lang w:val="sr-Latn-RS"/>
        </w:rPr>
        <w:t>naknade za stanovanje</w:t>
      </w:r>
      <w:r w:rsidR="002C0A38" w:rsidRPr="00174FCA">
        <w:rPr>
          <w:rFonts w:asciiTheme="majorHAnsi" w:hAnsiTheme="majorHAnsi" w:cstheme="majorHAnsi"/>
          <w:sz w:val="16"/>
          <w:szCs w:val="16"/>
          <w:lang w:val="sr-Latn-RS"/>
        </w:rPr>
        <w:t xml:space="preserve"> i </w:t>
      </w:r>
      <w:r w:rsidRPr="00174FCA">
        <w:rPr>
          <w:rFonts w:asciiTheme="majorHAnsi" w:hAnsiTheme="majorHAnsi" w:cstheme="majorHAnsi"/>
          <w:sz w:val="16"/>
          <w:szCs w:val="16"/>
          <w:lang w:val="sr-Latn-RS"/>
        </w:rPr>
        <w:t>socijalnu isključenost.</w:t>
      </w:r>
      <w:r w:rsidRPr="00CE50C5">
        <w:rPr>
          <w:rFonts w:asciiTheme="majorHAnsi" w:hAnsiTheme="majorHAnsi" w:cstheme="majorHAnsi"/>
          <w:sz w:val="16"/>
          <w:szCs w:val="16"/>
          <w:lang w:val="sr-Latn-RS"/>
        </w:rPr>
        <w:t xml:space="preserve"> </w:t>
      </w:r>
    </w:p>
  </w:footnote>
  <w:footnote w:id="54">
    <w:p w14:paraId="393A45EF" w14:textId="77777777" w:rsidR="0064077D" w:rsidRPr="00CE50C5" w:rsidRDefault="0064077D" w:rsidP="0064077D">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Eurostat, Social protection in 2017 Share of EU GDP spent on social protection slightly down Highest ratios in France, Denmark and Finland, dostupno na: </w:t>
      </w:r>
      <w:hyperlink r:id="rId26">
        <w:r w:rsidRPr="00CE50C5">
          <w:rPr>
            <w:rFonts w:asciiTheme="majorHAnsi" w:hAnsiTheme="majorHAnsi" w:cstheme="majorHAnsi"/>
            <w:color w:val="1155CC"/>
            <w:sz w:val="16"/>
            <w:szCs w:val="16"/>
            <w:u w:val="single"/>
            <w:lang w:val="sr-Latn-RS"/>
          </w:rPr>
          <w:t>https://ec.europa.eu/eurostat/documents/2995521/10246894/3-22112019-AP-EN.PDF.pdf/e1c0adb8-2e85-7a23-3965-c816861b713a</w:t>
        </w:r>
      </w:hyperlink>
      <w:r w:rsidRPr="00CE50C5">
        <w:rPr>
          <w:rFonts w:asciiTheme="majorHAnsi" w:hAnsiTheme="majorHAnsi" w:cstheme="majorHAnsi"/>
          <w:sz w:val="16"/>
          <w:szCs w:val="16"/>
          <w:lang w:val="sr-Latn-RS"/>
        </w:rPr>
        <w:t xml:space="preserve"> </w:t>
      </w:r>
    </w:p>
  </w:footnote>
  <w:footnote w:id="55">
    <w:p w14:paraId="6C4F2EB5" w14:textId="7CE9043E" w:rsidR="00362548" w:rsidRPr="00CE50C5" w:rsidRDefault="00362548" w:rsidP="00362548">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Ministarstvo finansija, Fiskalna strategija za 2022. sa projekcijama za 2023.</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2024. godinu.</w:t>
      </w:r>
    </w:p>
  </w:footnote>
  <w:footnote w:id="56">
    <w:p w14:paraId="05D194E2" w14:textId="55F250AA" w:rsidR="00362548" w:rsidRPr="00CE50C5" w:rsidRDefault="00362548" w:rsidP="00362548">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“Sl. glasnik RS“, br. 54/2020</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60/2020.</w:t>
      </w:r>
    </w:p>
  </w:footnote>
  <w:footnote w:id="57">
    <w:p w14:paraId="2C82E5EE" w14:textId="39FD4762" w:rsidR="00BE5C86" w:rsidRPr="00CE50C5" w:rsidRDefault="00BE5C86" w:rsidP="00BE5C86">
      <w:pPr>
        <w:spacing w:after="0" w:line="240" w:lineRule="auto"/>
        <w:rPr>
          <w:rFonts w:asciiTheme="majorHAnsi" w:hAnsiTheme="majorHAnsi" w:cstheme="majorHAnsi"/>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A 11 – Inicijativa za ekonomska</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 xml:space="preserve">socijalna prava, </w:t>
      </w:r>
      <w:r w:rsidRPr="00CE50C5">
        <w:rPr>
          <w:rFonts w:asciiTheme="majorHAnsi" w:hAnsiTheme="majorHAnsi" w:cstheme="majorHAnsi"/>
          <w:i/>
          <w:iCs/>
          <w:sz w:val="16"/>
          <w:szCs w:val="16"/>
          <w:lang w:val="sr-Latn-RS"/>
        </w:rPr>
        <w:t>Ljudska prava u Srbiji tokom prvog talasa koronavirusa: od negiranja opasnosti do vanrednog stanja</w:t>
      </w:r>
      <w:r w:rsidRPr="00CE50C5">
        <w:rPr>
          <w:rFonts w:asciiTheme="majorHAnsi" w:hAnsiTheme="majorHAnsi" w:cstheme="majorHAnsi"/>
          <w:sz w:val="16"/>
          <w:szCs w:val="16"/>
          <w:lang w:val="sr-Latn-RS"/>
        </w:rPr>
        <w:t xml:space="preserve">, str. 19-21, 2020. godina, dostupno na: </w:t>
      </w:r>
      <w:hyperlink r:id="rId27" w:history="1">
        <w:r w:rsidRPr="00CE50C5">
          <w:rPr>
            <w:rStyle w:val="Hyperlink"/>
            <w:rFonts w:asciiTheme="majorHAnsi" w:hAnsiTheme="majorHAnsi" w:cstheme="majorHAnsi"/>
            <w:sz w:val="16"/>
            <w:szCs w:val="16"/>
            <w:lang w:val="sr-Latn-RS"/>
          </w:rPr>
          <w:t>https://www.a11initiative.org/wp-content/uploads/2020/10/Ljudska-prava-u-Srbiji-tokom-prvog-talasa-koronavirusa-1.pdf</w:t>
        </w:r>
      </w:hyperlink>
      <w:r w:rsidRPr="00CE50C5">
        <w:rPr>
          <w:rFonts w:asciiTheme="majorHAnsi" w:hAnsiTheme="majorHAnsi" w:cstheme="majorHAnsi"/>
          <w:sz w:val="16"/>
          <w:szCs w:val="16"/>
          <w:lang w:val="sr-Latn-RS"/>
        </w:rPr>
        <w:t xml:space="preserve">  </w:t>
      </w:r>
    </w:p>
  </w:footnote>
  <w:footnote w:id="58">
    <w:p w14:paraId="477BCD34" w14:textId="06A2BCE9" w:rsidR="003277A6" w:rsidRPr="00CE50C5" w:rsidRDefault="003277A6" w:rsidP="003277A6">
      <w:pPr>
        <w:spacing w:line="240" w:lineRule="auto"/>
        <w:rPr>
          <w:rFonts w:asciiTheme="majorHAnsi" w:hAnsiTheme="majorHAnsi" w:cstheme="majorHAnsi"/>
          <w:b/>
          <w:bCs/>
          <w:sz w:val="16"/>
          <w:szCs w:val="16"/>
          <w:lang w:val="sr-Latn-RS"/>
        </w:rPr>
      </w:pPr>
      <w:r w:rsidRPr="00CE50C5">
        <w:rPr>
          <w:rStyle w:val="FootnoteReference"/>
          <w:rFonts w:asciiTheme="majorHAnsi" w:hAnsiTheme="majorHAnsi" w:cstheme="majorHAnsi"/>
          <w:sz w:val="16"/>
          <w:szCs w:val="16"/>
          <w:lang w:val="sr-Latn-RS"/>
        </w:rPr>
        <w:footnoteRef/>
      </w:r>
      <w:r w:rsidRPr="00CE50C5">
        <w:rPr>
          <w:rFonts w:asciiTheme="majorHAnsi" w:hAnsiTheme="majorHAnsi" w:cstheme="majorHAnsi"/>
          <w:sz w:val="16"/>
          <w:szCs w:val="16"/>
          <w:lang w:val="sr-Latn-RS"/>
        </w:rPr>
        <w:t xml:space="preserve"> Komitet za ekonomska, socijalna</w:t>
      </w:r>
      <w:r w:rsidR="002C0A38" w:rsidRPr="00CE50C5">
        <w:rPr>
          <w:rFonts w:asciiTheme="majorHAnsi" w:hAnsiTheme="majorHAnsi" w:cstheme="majorHAnsi"/>
          <w:sz w:val="16"/>
          <w:szCs w:val="16"/>
          <w:lang w:val="sr-Latn-RS"/>
        </w:rPr>
        <w:t xml:space="preserve"> i </w:t>
      </w:r>
      <w:r w:rsidRPr="00CE50C5">
        <w:rPr>
          <w:rFonts w:asciiTheme="majorHAnsi" w:hAnsiTheme="majorHAnsi" w:cstheme="majorHAnsi"/>
          <w:sz w:val="16"/>
          <w:szCs w:val="16"/>
          <w:lang w:val="sr-Latn-RS"/>
        </w:rPr>
        <w:t xml:space="preserve">kulturna prava, </w:t>
      </w:r>
      <w:r w:rsidRPr="00CE50C5">
        <w:rPr>
          <w:rFonts w:asciiTheme="majorHAnsi" w:hAnsiTheme="majorHAnsi" w:cstheme="majorHAnsi"/>
          <w:i/>
          <w:iCs/>
          <w:sz w:val="16"/>
          <w:szCs w:val="16"/>
          <w:lang w:val="sr-Latn-RS"/>
        </w:rPr>
        <w:t>Statement on the Covid-19 Pandemic and Economic, Social and Cultural Rights</w:t>
      </w:r>
      <w:r w:rsidRPr="00CE50C5">
        <w:rPr>
          <w:rFonts w:asciiTheme="majorHAnsi" w:hAnsiTheme="majorHAnsi" w:cstheme="majorHAnsi"/>
          <w:sz w:val="16"/>
          <w:szCs w:val="16"/>
          <w:lang w:val="sr-Latn-RS"/>
        </w:rPr>
        <w:t xml:space="preserve">, 14. pasus, 6. april 2020. godine, dostupno na engleskom jeziku na: </w:t>
      </w:r>
      <w:hyperlink r:id="rId28" w:history="1">
        <w:r w:rsidRPr="00CE50C5">
          <w:rPr>
            <w:rStyle w:val="Hyperlink"/>
            <w:rFonts w:asciiTheme="majorHAnsi" w:hAnsiTheme="majorHAnsi" w:cstheme="majorHAnsi"/>
            <w:sz w:val="16"/>
            <w:szCs w:val="16"/>
            <w:lang w:val="sr-Latn-RS"/>
          </w:rPr>
          <w:t>https://brill.com/downloadpdf/journals/hrlr/9/1/article-p135_135.xml</w:t>
        </w:r>
      </w:hyperlink>
      <w:r w:rsidRPr="00CE50C5">
        <w:rPr>
          <w:rFonts w:asciiTheme="majorHAnsi" w:hAnsiTheme="majorHAnsi" w:cstheme="majorHAnsi"/>
          <w:sz w:val="16"/>
          <w:szCs w:val="16"/>
          <w:lang w:val="sr-Latn-R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740" w14:textId="77777777" w:rsidR="009B3885" w:rsidRDefault="009B388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A0BB" w14:textId="77777777" w:rsidR="009B3885" w:rsidRDefault="009B388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3E3B" w14:textId="77777777" w:rsidR="009B3885" w:rsidRDefault="009B388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30F81"/>
    <w:multiLevelType w:val="multilevel"/>
    <w:tmpl w:val="F90CD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F258A9"/>
    <w:multiLevelType w:val="multilevel"/>
    <w:tmpl w:val="340E6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B74D12"/>
    <w:multiLevelType w:val="multilevel"/>
    <w:tmpl w:val="CDD28CA0"/>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0B676CC"/>
    <w:multiLevelType w:val="multilevel"/>
    <w:tmpl w:val="9AE27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tDQ2MrewMDU1MjBW0lEKTi0uzszPAykwrAUAZ5rsSiwAAAA="/>
  </w:docVars>
  <w:rsids>
    <w:rsidRoot w:val="009B3885"/>
    <w:rsid w:val="00011DCC"/>
    <w:rsid w:val="00085218"/>
    <w:rsid w:val="00085DB1"/>
    <w:rsid w:val="0009655A"/>
    <w:rsid w:val="000A476E"/>
    <w:rsid w:val="000A6DBC"/>
    <w:rsid w:val="000C5763"/>
    <w:rsid w:val="000D129B"/>
    <w:rsid w:val="000E49D9"/>
    <w:rsid w:val="00107AAE"/>
    <w:rsid w:val="0011105E"/>
    <w:rsid w:val="001244C3"/>
    <w:rsid w:val="0012768F"/>
    <w:rsid w:val="00135201"/>
    <w:rsid w:val="00142389"/>
    <w:rsid w:val="00153DF8"/>
    <w:rsid w:val="00157B3A"/>
    <w:rsid w:val="00174FCA"/>
    <w:rsid w:val="001A3685"/>
    <w:rsid w:val="001B230C"/>
    <w:rsid w:val="001D4A56"/>
    <w:rsid w:val="002022BC"/>
    <w:rsid w:val="00206D8B"/>
    <w:rsid w:val="002202F7"/>
    <w:rsid w:val="002215E8"/>
    <w:rsid w:val="002364F9"/>
    <w:rsid w:val="0025376D"/>
    <w:rsid w:val="00297C26"/>
    <w:rsid w:val="002A7A28"/>
    <w:rsid w:val="002C0A38"/>
    <w:rsid w:val="002C67B3"/>
    <w:rsid w:val="002E75F4"/>
    <w:rsid w:val="00306303"/>
    <w:rsid w:val="00315F6E"/>
    <w:rsid w:val="003277A6"/>
    <w:rsid w:val="00340A03"/>
    <w:rsid w:val="003517BC"/>
    <w:rsid w:val="00352A1C"/>
    <w:rsid w:val="00357576"/>
    <w:rsid w:val="00362548"/>
    <w:rsid w:val="003627CF"/>
    <w:rsid w:val="003A57F1"/>
    <w:rsid w:val="003B6FA3"/>
    <w:rsid w:val="003B7810"/>
    <w:rsid w:val="003F7505"/>
    <w:rsid w:val="00425DC7"/>
    <w:rsid w:val="0043538B"/>
    <w:rsid w:val="00435832"/>
    <w:rsid w:val="00443301"/>
    <w:rsid w:val="00444209"/>
    <w:rsid w:val="00453019"/>
    <w:rsid w:val="00465F45"/>
    <w:rsid w:val="00475F3A"/>
    <w:rsid w:val="004779F1"/>
    <w:rsid w:val="004A5708"/>
    <w:rsid w:val="004C6359"/>
    <w:rsid w:val="00512F13"/>
    <w:rsid w:val="00532D11"/>
    <w:rsid w:val="0055797E"/>
    <w:rsid w:val="005652F5"/>
    <w:rsid w:val="00587563"/>
    <w:rsid w:val="00590270"/>
    <w:rsid w:val="005A1201"/>
    <w:rsid w:val="005A6A56"/>
    <w:rsid w:val="005B7E1C"/>
    <w:rsid w:val="005E0767"/>
    <w:rsid w:val="00617A36"/>
    <w:rsid w:val="00624FB3"/>
    <w:rsid w:val="00627234"/>
    <w:rsid w:val="0063604B"/>
    <w:rsid w:val="0064077D"/>
    <w:rsid w:val="00640C62"/>
    <w:rsid w:val="00641190"/>
    <w:rsid w:val="00642D91"/>
    <w:rsid w:val="00657AF2"/>
    <w:rsid w:val="00663123"/>
    <w:rsid w:val="0067694E"/>
    <w:rsid w:val="006860A6"/>
    <w:rsid w:val="00691620"/>
    <w:rsid w:val="00693C61"/>
    <w:rsid w:val="006A681B"/>
    <w:rsid w:val="006C685E"/>
    <w:rsid w:val="006D39A0"/>
    <w:rsid w:val="006E530B"/>
    <w:rsid w:val="006E73A1"/>
    <w:rsid w:val="00710E0B"/>
    <w:rsid w:val="00735EDC"/>
    <w:rsid w:val="00741729"/>
    <w:rsid w:val="00754649"/>
    <w:rsid w:val="00780860"/>
    <w:rsid w:val="00790395"/>
    <w:rsid w:val="007A3039"/>
    <w:rsid w:val="007D26B3"/>
    <w:rsid w:val="00800922"/>
    <w:rsid w:val="00814F18"/>
    <w:rsid w:val="00815CAB"/>
    <w:rsid w:val="008266A4"/>
    <w:rsid w:val="008573B1"/>
    <w:rsid w:val="00884655"/>
    <w:rsid w:val="0089251C"/>
    <w:rsid w:val="0089754F"/>
    <w:rsid w:val="008C0DA0"/>
    <w:rsid w:val="008C4338"/>
    <w:rsid w:val="008E0587"/>
    <w:rsid w:val="008E0D6C"/>
    <w:rsid w:val="008E3357"/>
    <w:rsid w:val="00912B22"/>
    <w:rsid w:val="00924491"/>
    <w:rsid w:val="009267EB"/>
    <w:rsid w:val="00927C79"/>
    <w:rsid w:val="00937DB1"/>
    <w:rsid w:val="00945845"/>
    <w:rsid w:val="00951526"/>
    <w:rsid w:val="00960097"/>
    <w:rsid w:val="00971888"/>
    <w:rsid w:val="009B3885"/>
    <w:rsid w:val="009C6C35"/>
    <w:rsid w:val="009D35B2"/>
    <w:rsid w:val="00A1533F"/>
    <w:rsid w:val="00A36843"/>
    <w:rsid w:val="00A404D4"/>
    <w:rsid w:val="00A41E6E"/>
    <w:rsid w:val="00A61F9D"/>
    <w:rsid w:val="00A8263C"/>
    <w:rsid w:val="00A830C5"/>
    <w:rsid w:val="00A85390"/>
    <w:rsid w:val="00A86251"/>
    <w:rsid w:val="00AA5085"/>
    <w:rsid w:val="00AC5325"/>
    <w:rsid w:val="00AD3AD4"/>
    <w:rsid w:val="00AE1952"/>
    <w:rsid w:val="00AF0B09"/>
    <w:rsid w:val="00B00B22"/>
    <w:rsid w:val="00B44138"/>
    <w:rsid w:val="00B77437"/>
    <w:rsid w:val="00B961C6"/>
    <w:rsid w:val="00BA0C0A"/>
    <w:rsid w:val="00BE5C86"/>
    <w:rsid w:val="00BF11F3"/>
    <w:rsid w:val="00BF2C89"/>
    <w:rsid w:val="00C249C8"/>
    <w:rsid w:val="00C257BE"/>
    <w:rsid w:val="00C5204D"/>
    <w:rsid w:val="00C60E45"/>
    <w:rsid w:val="00C8525C"/>
    <w:rsid w:val="00CA08E0"/>
    <w:rsid w:val="00CC27E3"/>
    <w:rsid w:val="00CE0B50"/>
    <w:rsid w:val="00CE50C5"/>
    <w:rsid w:val="00CF35FE"/>
    <w:rsid w:val="00D06744"/>
    <w:rsid w:val="00D35CA5"/>
    <w:rsid w:val="00D40BCD"/>
    <w:rsid w:val="00D4319C"/>
    <w:rsid w:val="00D44B69"/>
    <w:rsid w:val="00D6182F"/>
    <w:rsid w:val="00D711AC"/>
    <w:rsid w:val="00DB354F"/>
    <w:rsid w:val="00DB7E3D"/>
    <w:rsid w:val="00DC01CB"/>
    <w:rsid w:val="00DF23AE"/>
    <w:rsid w:val="00E27462"/>
    <w:rsid w:val="00E35018"/>
    <w:rsid w:val="00E635B1"/>
    <w:rsid w:val="00E745E1"/>
    <w:rsid w:val="00E77274"/>
    <w:rsid w:val="00E80065"/>
    <w:rsid w:val="00E8284F"/>
    <w:rsid w:val="00EB11E5"/>
    <w:rsid w:val="00EE24DB"/>
    <w:rsid w:val="00EE7400"/>
    <w:rsid w:val="00EF250B"/>
    <w:rsid w:val="00F13AE6"/>
    <w:rsid w:val="00F424E6"/>
    <w:rsid w:val="00FC3303"/>
    <w:rsid w:val="00FE5B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F3F37D"/>
  <w15:docId w15:val="{C0C67ECD-4210-4D26-BADD-61E98385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5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8053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80531"/>
    <w:pPr>
      <w:ind w:left="720"/>
      <w:contextualSpacing/>
    </w:pPr>
  </w:style>
  <w:style w:type="paragraph" w:styleId="Header">
    <w:name w:val="header"/>
    <w:basedOn w:val="Normal"/>
    <w:link w:val="HeaderChar"/>
    <w:uiPriority w:val="99"/>
    <w:unhideWhenUsed/>
    <w:rsid w:val="00380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531"/>
  </w:style>
  <w:style w:type="paragraph" w:styleId="Footer">
    <w:name w:val="footer"/>
    <w:basedOn w:val="Normal"/>
    <w:link w:val="FooterChar"/>
    <w:uiPriority w:val="99"/>
    <w:unhideWhenUsed/>
    <w:rsid w:val="00380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531"/>
  </w:style>
  <w:style w:type="paragraph" w:styleId="FootnoteText">
    <w:name w:val="footnote text"/>
    <w:basedOn w:val="Normal"/>
    <w:link w:val="FootnoteTextChar"/>
    <w:uiPriority w:val="99"/>
    <w:semiHidden/>
    <w:unhideWhenUsed/>
    <w:rsid w:val="003805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531"/>
    <w:rPr>
      <w:sz w:val="20"/>
      <w:szCs w:val="20"/>
    </w:rPr>
  </w:style>
  <w:style w:type="character" w:styleId="FootnoteReference">
    <w:name w:val="footnote reference"/>
    <w:basedOn w:val="DefaultParagraphFont"/>
    <w:uiPriority w:val="99"/>
    <w:semiHidden/>
    <w:unhideWhenUsed/>
    <w:rsid w:val="00380531"/>
    <w:rPr>
      <w:vertAlign w:val="superscript"/>
    </w:rPr>
  </w:style>
  <w:style w:type="character" w:styleId="Hyperlink">
    <w:name w:val="Hyperlink"/>
    <w:basedOn w:val="DefaultParagraphFont"/>
    <w:uiPriority w:val="99"/>
    <w:unhideWhenUsed/>
    <w:rsid w:val="007D229A"/>
    <w:rPr>
      <w:color w:val="0563C1" w:themeColor="hyperlink"/>
      <w:u w:val="single"/>
    </w:rPr>
  </w:style>
  <w:style w:type="character" w:customStyle="1" w:styleId="UnresolvedMention1">
    <w:name w:val="Unresolved Mention1"/>
    <w:basedOn w:val="DefaultParagraphFont"/>
    <w:uiPriority w:val="99"/>
    <w:semiHidden/>
    <w:unhideWhenUsed/>
    <w:rsid w:val="007D229A"/>
    <w:rPr>
      <w:color w:val="605E5C"/>
      <w:shd w:val="clear" w:color="auto" w:fill="E1DFDD"/>
    </w:rPr>
  </w:style>
  <w:style w:type="table" w:styleId="TableGrid">
    <w:name w:val="Table Grid"/>
    <w:basedOn w:val="TableNormal"/>
    <w:uiPriority w:val="39"/>
    <w:rsid w:val="00CE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E18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E18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912621"/>
    <w:rPr>
      <w:b/>
      <w:bCs/>
    </w:rPr>
  </w:style>
  <w:style w:type="character" w:styleId="CommentReference">
    <w:name w:val="annotation reference"/>
    <w:basedOn w:val="DefaultParagraphFont"/>
    <w:uiPriority w:val="99"/>
    <w:semiHidden/>
    <w:unhideWhenUsed/>
    <w:rsid w:val="00AE675D"/>
    <w:rPr>
      <w:sz w:val="16"/>
      <w:szCs w:val="16"/>
    </w:rPr>
  </w:style>
  <w:style w:type="paragraph" w:styleId="CommentText">
    <w:name w:val="annotation text"/>
    <w:basedOn w:val="Normal"/>
    <w:link w:val="CommentTextChar"/>
    <w:uiPriority w:val="99"/>
    <w:semiHidden/>
    <w:unhideWhenUsed/>
    <w:rsid w:val="00AE675D"/>
    <w:pPr>
      <w:spacing w:line="240" w:lineRule="auto"/>
    </w:pPr>
    <w:rPr>
      <w:sz w:val="20"/>
      <w:szCs w:val="20"/>
    </w:rPr>
  </w:style>
  <w:style w:type="character" w:customStyle="1" w:styleId="CommentTextChar">
    <w:name w:val="Comment Text Char"/>
    <w:basedOn w:val="DefaultParagraphFont"/>
    <w:link w:val="CommentText"/>
    <w:uiPriority w:val="99"/>
    <w:semiHidden/>
    <w:rsid w:val="00AE675D"/>
    <w:rPr>
      <w:sz w:val="20"/>
      <w:szCs w:val="20"/>
    </w:rPr>
  </w:style>
  <w:style w:type="paragraph" w:styleId="CommentSubject">
    <w:name w:val="annotation subject"/>
    <w:basedOn w:val="CommentText"/>
    <w:next w:val="CommentText"/>
    <w:link w:val="CommentSubjectChar"/>
    <w:uiPriority w:val="99"/>
    <w:semiHidden/>
    <w:unhideWhenUsed/>
    <w:rsid w:val="00AE675D"/>
    <w:rPr>
      <w:b/>
      <w:bCs/>
    </w:rPr>
  </w:style>
  <w:style w:type="character" w:customStyle="1" w:styleId="CommentSubjectChar">
    <w:name w:val="Comment Subject Char"/>
    <w:basedOn w:val="CommentTextChar"/>
    <w:link w:val="CommentSubject"/>
    <w:uiPriority w:val="99"/>
    <w:semiHidden/>
    <w:rsid w:val="00AE675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TOCHeading">
    <w:name w:val="TOC Heading"/>
    <w:basedOn w:val="Heading1"/>
    <w:next w:val="Normal"/>
    <w:uiPriority w:val="39"/>
    <w:unhideWhenUsed/>
    <w:qFormat/>
    <w:rsid w:val="002C67B3"/>
    <w:pPr>
      <w:outlineLvl w:val="9"/>
    </w:pPr>
    <w:rPr>
      <w:lang w:eastAsia="en-US"/>
    </w:rPr>
  </w:style>
  <w:style w:type="paragraph" w:styleId="TOC1">
    <w:name w:val="toc 1"/>
    <w:basedOn w:val="Normal"/>
    <w:next w:val="Normal"/>
    <w:autoRedefine/>
    <w:uiPriority w:val="39"/>
    <w:unhideWhenUsed/>
    <w:rsid w:val="002C67B3"/>
    <w:pPr>
      <w:spacing w:after="100"/>
    </w:pPr>
  </w:style>
  <w:style w:type="paragraph" w:styleId="TOC2">
    <w:name w:val="toc 2"/>
    <w:basedOn w:val="Normal"/>
    <w:next w:val="Normal"/>
    <w:autoRedefine/>
    <w:uiPriority w:val="39"/>
    <w:unhideWhenUsed/>
    <w:rsid w:val="002C67B3"/>
    <w:pPr>
      <w:spacing w:after="100"/>
      <w:ind w:left="220"/>
    </w:pPr>
  </w:style>
  <w:style w:type="character" w:styleId="UnresolvedMention">
    <w:name w:val="Unresolved Mention"/>
    <w:basedOn w:val="DefaultParagraphFont"/>
    <w:uiPriority w:val="99"/>
    <w:semiHidden/>
    <w:unhideWhenUsed/>
    <w:rsid w:val="00735EDC"/>
    <w:rPr>
      <w:color w:val="605E5C"/>
      <w:shd w:val="clear" w:color="auto" w:fill="E1DFDD"/>
    </w:rPr>
  </w:style>
  <w:style w:type="character" w:styleId="FollowedHyperlink">
    <w:name w:val="FollowedHyperlink"/>
    <w:basedOn w:val="DefaultParagraphFont"/>
    <w:uiPriority w:val="99"/>
    <w:semiHidden/>
    <w:unhideWhenUsed/>
    <w:rsid w:val="00107AAE"/>
    <w:rPr>
      <w:color w:val="954F72" w:themeColor="followedHyperlink"/>
      <w:u w:val="single"/>
    </w:rPr>
  </w:style>
  <w:style w:type="paragraph" w:styleId="NoSpacing">
    <w:name w:val="No Spacing"/>
    <w:uiPriority w:val="1"/>
    <w:qFormat/>
    <w:rsid w:val="00EB1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1452">
      <w:bodyDiv w:val="1"/>
      <w:marLeft w:val="0"/>
      <w:marRight w:val="0"/>
      <w:marTop w:val="0"/>
      <w:marBottom w:val="0"/>
      <w:divBdr>
        <w:top w:val="none" w:sz="0" w:space="0" w:color="auto"/>
        <w:left w:val="none" w:sz="0" w:space="0" w:color="auto"/>
        <w:bottom w:val="none" w:sz="0" w:space="0" w:color="auto"/>
        <w:right w:val="none" w:sz="0" w:space="0" w:color="auto"/>
      </w:divBdr>
      <w:divsChild>
        <w:div w:id="1042629780">
          <w:marLeft w:val="0"/>
          <w:marRight w:val="0"/>
          <w:marTop w:val="0"/>
          <w:marBottom w:val="0"/>
          <w:divBdr>
            <w:top w:val="none" w:sz="0" w:space="0" w:color="auto"/>
            <w:left w:val="none" w:sz="0" w:space="0" w:color="auto"/>
            <w:bottom w:val="none" w:sz="0" w:space="0" w:color="auto"/>
            <w:right w:val="none" w:sz="0" w:space="0" w:color="auto"/>
          </w:divBdr>
          <w:divsChild>
            <w:div w:id="20891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390">
      <w:bodyDiv w:val="1"/>
      <w:marLeft w:val="0"/>
      <w:marRight w:val="0"/>
      <w:marTop w:val="0"/>
      <w:marBottom w:val="0"/>
      <w:divBdr>
        <w:top w:val="none" w:sz="0" w:space="0" w:color="auto"/>
        <w:left w:val="none" w:sz="0" w:space="0" w:color="auto"/>
        <w:bottom w:val="none" w:sz="0" w:space="0" w:color="auto"/>
        <w:right w:val="none" w:sz="0" w:space="0" w:color="auto"/>
      </w:divBdr>
    </w:div>
    <w:div w:id="354767721">
      <w:bodyDiv w:val="1"/>
      <w:marLeft w:val="0"/>
      <w:marRight w:val="0"/>
      <w:marTop w:val="0"/>
      <w:marBottom w:val="0"/>
      <w:divBdr>
        <w:top w:val="none" w:sz="0" w:space="0" w:color="auto"/>
        <w:left w:val="none" w:sz="0" w:space="0" w:color="auto"/>
        <w:bottom w:val="none" w:sz="0" w:space="0" w:color="auto"/>
        <w:right w:val="none" w:sz="0" w:space="0" w:color="auto"/>
      </w:divBdr>
      <w:divsChild>
        <w:div w:id="1581409684">
          <w:marLeft w:val="0"/>
          <w:marRight w:val="0"/>
          <w:marTop w:val="0"/>
          <w:marBottom w:val="0"/>
          <w:divBdr>
            <w:top w:val="none" w:sz="0" w:space="0" w:color="auto"/>
            <w:left w:val="none" w:sz="0" w:space="0" w:color="auto"/>
            <w:bottom w:val="none" w:sz="0" w:space="0" w:color="auto"/>
            <w:right w:val="none" w:sz="0" w:space="0" w:color="auto"/>
          </w:divBdr>
          <w:divsChild>
            <w:div w:id="3256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6966">
      <w:bodyDiv w:val="1"/>
      <w:marLeft w:val="0"/>
      <w:marRight w:val="0"/>
      <w:marTop w:val="0"/>
      <w:marBottom w:val="0"/>
      <w:divBdr>
        <w:top w:val="none" w:sz="0" w:space="0" w:color="auto"/>
        <w:left w:val="none" w:sz="0" w:space="0" w:color="auto"/>
        <w:bottom w:val="none" w:sz="0" w:space="0" w:color="auto"/>
        <w:right w:val="none" w:sz="0" w:space="0" w:color="auto"/>
      </w:divBdr>
    </w:div>
    <w:div w:id="1012994113">
      <w:bodyDiv w:val="1"/>
      <w:marLeft w:val="0"/>
      <w:marRight w:val="0"/>
      <w:marTop w:val="0"/>
      <w:marBottom w:val="0"/>
      <w:divBdr>
        <w:top w:val="none" w:sz="0" w:space="0" w:color="auto"/>
        <w:left w:val="none" w:sz="0" w:space="0" w:color="auto"/>
        <w:bottom w:val="none" w:sz="0" w:space="0" w:color="auto"/>
        <w:right w:val="none" w:sz="0" w:space="0" w:color="auto"/>
      </w:divBdr>
      <w:divsChild>
        <w:div w:id="469828623">
          <w:marLeft w:val="0"/>
          <w:marRight w:val="0"/>
          <w:marTop w:val="0"/>
          <w:marBottom w:val="0"/>
          <w:divBdr>
            <w:top w:val="none" w:sz="0" w:space="0" w:color="auto"/>
            <w:left w:val="none" w:sz="0" w:space="0" w:color="auto"/>
            <w:bottom w:val="none" w:sz="0" w:space="0" w:color="auto"/>
            <w:right w:val="none" w:sz="0" w:space="0" w:color="auto"/>
          </w:divBdr>
          <w:divsChild>
            <w:div w:id="19759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65">
      <w:bodyDiv w:val="1"/>
      <w:marLeft w:val="0"/>
      <w:marRight w:val="0"/>
      <w:marTop w:val="0"/>
      <w:marBottom w:val="0"/>
      <w:divBdr>
        <w:top w:val="none" w:sz="0" w:space="0" w:color="auto"/>
        <w:left w:val="none" w:sz="0" w:space="0" w:color="auto"/>
        <w:bottom w:val="none" w:sz="0" w:space="0" w:color="auto"/>
        <w:right w:val="none" w:sz="0" w:space="0" w:color="auto"/>
      </w:divBdr>
    </w:div>
    <w:div w:id="1900165180">
      <w:bodyDiv w:val="1"/>
      <w:marLeft w:val="0"/>
      <w:marRight w:val="0"/>
      <w:marTop w:val="0"/>
      <w:marBottom w:val="0"/>
      <w:divBdr>
        <w:top w:val="none" w:sz="0" w:space="0" w:color="auto"/>
        <w:left w:val="none" w:sz="0" w:space="0" w:color="auto"/>
        <w:bottom w:val="none" w:sz="0" w:space="0" w:color="auto"/>
        <w:right w:val="none" w:sz="0" w:space="0" w:color="auto"/>
      </w:divBdr>
      <w:divsChild>
        <w:div w:id="75707335">
          <w:marLeft w:val="0"/>
          <w:marRight w:val="0"/>
          <w:marTop w:val="0"/>
          <w:marBottom w:val="0"/>
          <w:divBdr>
            <w:top w:val="none" w:sz="0" w:space="0" w:color="auto"/>
            <w:left w:val="none" w:sz="0" w:space="0" w:color="auto"/>
            <w:bottom w:val="none" w:sz="0" w:space="0" w:color="auto"/>
            <w:right w:val="none" w:sz="0" w:space="0" w:color="auto"/>
          </w:divBdr>
          <w:divsChild>
            <w:div w:id="4697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coebank.org/en/news-and-publications/news/ceb-extends-200-million-loan-serbia-health-infrastructure/" TargetMode="External"/><Relationship Id="rId13" Type="http://schemas.openxmlformats.org/officeDocument/2006/relationships/hyperlink" Target="https://socijalnoukljucivanje.gov.rs/rs/socijalno-ukljucivanje-u-rs/statistika-siromastva/apsolutno-siromastvo/" TargetMode="External"/><Relationship Id="rId18" Type="http://schemas.openxmlformats.org/officeDocument/2006/relationships/hyperlink" Target="http://socijalnoukljucivanje.gov.rs/rs/dvanaest-godina-rada-tima-za-socijalno-ukljucivanje-i-smanjenje-siromastva-vlade-republike-srbije/" TargetMode="External"/><Relationship Id="rId26" Type="http://schemas.openxmlformats.org/officeDocument/2006/relationships/hyperlink" Target="https://ec.europa.eu/eurostat/documents/2995521/10246894/3-22112019-AP-EN.PDF.pdf/e1c0adb8-2e85-7a23-3965-c816861b713a" TargetMode="External"/><Relationship Id="rId3" Type="http://schemas.openxmlformats.org/officeDocument/2006/relationships/hyperlink" Target="https://doi.org/10.1787/e2879a7d-en" TargetMode="External"/><Relationship Id="rId21" Type="http://schemas.openxmlformats.org/officeDocument/2006/relationships/hyperlink" Target="http://hudoc.esc.coe.int/eng?i=2017/def/SRB/13/1/EN" TargetMode="External"/><Relationship Id="rId7" Type="http://schemas.openxmlformats.org/officeDocument/2006/relationships/hyperlink" Target="https://serbia.un.org/sites/default/files/2021-02/Mapiranje_podstandardnih_romskih_naselja_SRB_web.pdf" TargetMode="External"/><Relationship Id="rId12" Type="http://schemas.openxmlformats.org/officeDocument/2006/relationships/hyperlink" Target="http://www.fiskalnisavet.rs/doc/ocene-i-misljenja/2021/FS-Ocena_Predloga_rebalansa_budzeta_Republike_za_2021_preporuke_za_budzet_2022.pdf" TargetMode="External"/><Relationship Id="rId17" Type="http://schemas.openxmlformats.org/officeDocument/2006/relationships/hyperlink" Target="http://socijalnoukljucivanje.gov.rs/" TargetMode="External"/><Relationship Id="rId25" Type="http://schemas.openxmlformats.org/officeDocument/2006/relationships/hyperlink" Target="https://www.mfin.gov.rs/dokumenti2/makroekonomski-i-fiskalni-podaci" TargetMode="External"/><Relationship Id="rId2" Type="http://schemas.openxmlformats.org/officeDocument/2006/relationships/hyperlink" Target="https://publikacije.stat.gov.rs/G2017/Pdf/G20176008.pdf" TargetMode="External"/><Relationship Id="rId16" Type="http://schemas.openxmlformats.org/officeDocument/2006/relationships/hyperlink" Target="https://bit.ly/3mPVW6U" TargetMode="External"/><Relationship Id="rId20" Type="http://schemas.openxmlformats.org/officeDocument/2006/relationships/hyperlink" Target="http://hudoc.esc.coe.int/eng?i=2017/def/SRB/13/1/EN" TargetMode="External"/><Relationship Id="rId1" Type="http://schemas.openxmlformats.org/officeDocument/2006/relationships/hyperlink" Target="https://www.a11initiative.org/wp-content/uploads/2018/09/report-femplatzA11.pdf" TargetMode="External"/><Relationship Id="rId6" Type="http://schemas.openxmlformats.org/officeDocument/2006/relationships/hyperlink" Target="http://www.fiskalnisavet.rs/doc/ocene-i-misljenja/2021/FS_Ocena_Predloga_budzeta_za_2022.pdf" TargetMode="External"/><Relationship Id="rId11" Type="http://schemas.openxmlformats.org/officeDocument/2006/relationships/hyperlink" Target="http://www.fiskalnisavet.rs/doc/ocene-i-misljenja/2021/FS_Rezime_Ocena_predloga_budzeta_2022.pdf" TargetMode="External"/><Relationship Id="rId24" Type="http://schemas.openxmlformats.org/officeDocument/2006/relationships/hyperlink" Target="https://www.youtube.com/watch?v=9lBJzIiPdRQ&amp;t=35s" TargetMode="External"/><Relationship Id="rId5" Type="http://schemas.openxmlformats.org/officeDocument/2006/relationships/hyperlink" Target="http://www.yucom.org.rs/podneta-inicijativa-za-ocenu-ustavnosti-odredbe-zakona-o-porezi-ma-na-imovinu-koji-uvodi-porez-na-siromastvo/" TargetMode="External"/><Relationship Id="rId15" Type="http://schemas.openxmlformats.org/officeDocument/2006/relationships/hyperlink" Target="https://publikacije.stat.gov.rs/G2021/Pdf/G20211239.pdf" TargetMode="External"/><Relationship Id="rId23" Type="http://schemas.openxmlformats.org/officeDocument/2006/relationships/hyperlink" Target="https://docstore.ohchr.org/SelfServices/FilesHandler.ashx?enc=4slQ6QSmlBEDzFEovLCuW54MWm13CZ4%2bVqIQ1kU7YRw1%2bWWofd2tBOLmHCPVP18p98WsDiiW2OUQ17gvnJpVVpoFywjLvYimxKtrPdaw9JwPrBrBaLOKZNQhlvbfOZUK" TargetMode="External"/><Relationship Id="rId28" Type="http://schemas.openxmlformats.org/officeDocument/2006/relationships/hyperlink" Target="https://brill.com/downloadpdf/journals/hrlr/9/1/article-p135_135.xml" TargetMode="External"/><Relationship Id="rId10" Type="http://schemas.openxmlformats.org/officeDocument/2006/relationships/hyperlink" Target="https://www.mei.gov.rs/upload/documents/eu_dokumenta/godisnji_izvestaji_ek_o_napretku/20190529-serbia-report_SR_-_REVIDIRANO.pdf" TargetMode="External"/><Relationship Id="rId19" Type="http://schemas.openxmlformats.org/officeDocument/2006/relationships/hyperlink" Target="http://www.zavodsz.gov.rs/media/2159/izvestaj-o-radu-csr-2020.pdf" TargetMode="External"/><Relationship Id="rId4" Type="http://schemas.openxmlformats.org/officeDocument/2006/relationships/hyperlink" Target="https://www.mfin.gov.rs/aktivnosti/bilten-javnih-finansija-za-mesec-oktobar-2021" TargetMode="External"/><Relationship Id="rId9" Type="http://schemas.openxmlformats.org/officeDocument/2006/relationships/hyperlink" Target="http://www.fiskalnisavet.rs/doc/analize-stavovi-predlozi/2020/FS_Efekat_zdravstvene_krize_na_fiskalna_i_ekonomska_kretanja_u_2020_+preporuke_za_2021.pdf" TargetMode="External"/><Relationship Id="rId14" Type="http://schemas.openxmlformats.org/officeDocument/2006/relationships/hyperlink" Target="https://publikacije.stat.gov.rs/G2021/Pdf/G20211282.pdf" TargetMode="External"/><Relationship Id="rId22" Type="http://schemas.openxmlformats.org/officeDocument/2006/relationships/hyperlink" Target="https://docstore.ohchr.org/SelfServices/FilesHandler.ashx?enc=4slQ6QSmlBEDzFEovLCuW54MWm13CZ4%2bVqIQ1kU7YRw1%2bWWofd2tBOLmHCPVP18p98WsDiiW2OUQ17gvnJpVVpoFywjLvYimxKtrPdaw9JwPrBrBaLOKZNQhlvbfOZUK" TargetMode="External"/><Relationship Id="rId27" Type="http://schemas.openxmlformats.org/officeDocument/2006/relationships/hyperlink" Target="https://www.a11initiative.org/wp-content/uploads/2020/10/Ljudska-prava-u-Srbiji-tokom-prvog-talasa-koronavirus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La/hf9r7u5P8efHT7v5y8/P/Ug==">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7E2692-D1B0-4C04-8B24-E785AE721706}">
  <ds:schemaRefs>
    <ds:schemaRef ds:uri="http://schemas.openxmlformats.org/officeDocument/2006/bibliography"/>
  </ds:schemaRefs>
</ds:datastoreItem>
</file>

<file path=customXml/itemProps3.xml><?xml version="1.0" encoding="utf-8"?>
<ds:datastoreItem xmlns:ds="http://schemas.openxmlformats.org/officeDocument/2006/customXml" ds:itemID="{7D557C18-2FAC-4543-A5B5-38F87AFF47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0485FB-C827-461E-B81E-848CF8B59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F947EBC-836E-4B0A-8680-81586E7E6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4988</Words>
  <Characters>28436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Ćurčić</dc:creator>
  <cp:lastModifiedBy>Jana Vujić</cp:lastModifiedBy>
  <cp:revision>3</cp:revision>
  <dcterms:created xsi:type="dcterms:W3CDTF">2022-02-17T09:25:00Z</dcterms:created>
  <dcterms:modified xsi:type="dcterms:W3CDTF">2022-02-21T08:49:00Z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